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49e8cb38d48c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HSCCLD227</w:t>
            </w:r>
            <w:r>
              <w:rPr>
                <w:b/>
              </w:rPr>
              <w:br/>
            </w:r>
            <w:r>
              <w:rPr>
                <w:b/>
              </w:rPr>
              <w:t>Cefnogi â gofal ar ôl marwolaeth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81a1dad09e4a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â gofal ar ôl marwolaeth yn unol â dewisiadau’r unigolyn. Mae hyn yn cynnwys cyfrannu at ofal personol ar ôl marwolaeth, rhoi cymorth i eraill o ran gweld yr unigolyn sydd wedi marw, a throsglwyddo'r unigolyn sydd wedi marw yn urddasol a pharchus.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rolau a chyfrifoldebau pawb wrth roi gofal ar ôl marwolaeth</w:t>
      </w:r>
    </w:p>
    <w:p>
      <w:pPr>
        <w:numPr>
          <w:ilvl w:val="0"/>
          <w:numId w:val="1"/>
        </w:numPr>
      </w:pPr>
      <w:r>
        <w:t>gweithio mewn partneriaeth â phawb sy'n ymwneud â’r gwaith i gytuno ar sut y bydd gofal ar ôl marwolaeth yn cael ei roi yn unol â dewisiadau unigolion ac eraill, a’r amgylchiadau sy’n gysylltiedig â’r farwolaeth  </w:t>
      </w:r>
    </w:p>
    <w:p>
      <w:pPr>
        <w:numPr>
          <w:ilvl w:val="0"/>
          <w:numId w:val="1"/>
        </w:numPr>
      </w:pPr>
      <w:r>
        <w:t>casglu’r holl bethau ymolchi, deunyddiau, cyfarpar a dillad ar gyfer gofal personol yr unigolyn sydd wedi marw</w:t>
      </w:r>
    </w:p>
    <w:p>
      <w:pPr>
        <w:numPr>
          <w:ilvl w:val="0"/>
          <w:numId w:val="1"/>
        </w:numPr>
      </w:pPr>
      <w:r>
        <w:t>sicrhau bod dulliau atal a rheoli heintiau, a chyfarpar diogelu personol, yn cael eu defnyddio  </w:t>
      </w:r>
    </w:p>
    <w:p>
      <w:pPr>
        <w:numPr>
          <w:ilvl w:val="0"/>
          <w:numId w:val="1"/>
        </w:numPr>
      </w:pPr>
      <w:r>
        <w:t>gweithio mewn partneriaeth ag eraill i gynllunio, cyflawni a chydlynu gofal personol a symud a lleoli’r unigolyn sydd wedi marw</w:t>
      </w:r>
    </w:p>
    <w:p>
      <w:pPr>
        <w:numPr>
          <w:ilvl w:val="0"/>
          <w:numId w:val="1"/>
        </w:numPr>
      </w:pPr>
      <w:r>
        <w:t>ymgymryd â gweithgareddau gofal personol, gwisgo ac esthetig ar gyfer yr unigolyn sydd wedi marw mewn ffordd urddasol a pharchus  </w:t>
      </w:r>
    </w:p>
    <w:p>
      <w:pPr>
        <w:numPr>
          <w:ilvl w:val="0"/>
          <w:numId w:val="1"/>
        </w:numPr>
      </w:pPr>
      <w:r>
        <w:t>gwneud yn siŵr bod adnoddau a chyfarpar yn cael eu gwaredu, eu dychwelyd, neu eu glanhau a'u storio  </w:t>
      </w:r>
    </w:p>
    <w:p>
      <w:pPr>
        <w:numPr>
          <w:ilvl w:val="0"/>
          <w:numId w:val="1"/>
        </w:numPr>
      </w:pPr>
      <w:r>
        <w:t>dilyn gofynion y gweithle ar gyfer adnabod yr unigolyn sydd wedi marw</w:t>
      </w:r>
    </w:p>
    <w:p>
      <w:pPr>
        <w:numPr>
          <w:ilvl w:val="0"/>
          <w:numId w:val="1"/>
        </w:numPr>
      </w:pPr>
      <w:r>
        <w:t>dilyn gofynion y gweithle ar gyfer cofnodi eitemau personol yr unigolyn sydd wedi marw</w:t>
      </w:r>
    </w:p>
    <w:p>
      <w:pPr>
        <w:numPr>
          <w:ilvl w:val="0"/>
          <w:numId w:val="1"/>
        </w:numPr>
      </w:pPr>
      <w:r>
        <w:t>glanhau, tacluso a pharatoi amgylcheddau cyn ac ar ôl gweld a throsglwyddo'r unigolyn sydd wedi marw</w:t>
      </w:r>
    </w:p>
    <w:p>
      <w:pPr>
        <w:numPr>
          <w:ilvl w:val="0"/>
          <w:numId w:val="1"/>
        </w:numPr>
      </w:pPr>
      <w:r>
        <w:t>cefnogi eraill mewn ffordd urddasol a pharchus a rhoi'r amser, y preifatrwydd a'r cyfleusterau sydd eu hangen arnynt i weld yr unigolyn sydd wedi marw</w:t>
      </w:r>
    </w:p>
    <w:p>
      <w:pPr>
        <w:numPr>
          <w:ilvl w:val="0"/>
          <w:numId w:val="1"/>
        </w:numPr>
      </w:pPr>
      <w:r>
        <w:t>cyfrannu at drosglwyddo'r unigolyn sydd wedi marw mewn ffordd urddasol a pharchus sy'n lleihau gofid i eraill  </w:t>
      </w:r>
    </w:p>
    <w:p>
      <w:pPr>
        <w:numPr>
          <w:ilvl w:val="0"/>
          <w:numId w:val="1"/>
        </w:numPr>
      </w:pPr>
      <w:r>
        <w:t>cyfrannu at gofnodion ac adroddiadau sydd eu hangen ar gyfer cefnogi â gofal ar ôl marwolaeth  </w:t>
      </w:r>
    </w:p>
    <w:p>
      <w:pPr>
        <w:numPr>
          <w:ilvl w:val="0"/>
          <w:numId w:val="1"/>
        </w:numPr>
      </w:pPr>
      <w:r>
        <w:t>myfyrio ar sut y gwnaethoch gyflawni eich rolau a'ch cyfrifoldebau i gefnogi â gofal ar ôl marwolaeth,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y dewisiadau ar gyfer gofal ar ôl marwolaeth, a sut mae adolygu’r wybodaeth honno, a pham fod hyn yn bwysig</w:t>
      </w:r>
    </w:p>
    <w:p>
      <w:pPr>
        <w:numPr>
          <w:ilvl w:val="0"/>
          <w:numId w:val="2"/>
        </w:numPr>
      </w:pPr>
      <w:r>
        <w:t>dylanwad diwylliant, cefndir a daliadau ysbrydol ar y ffordd mae gofal ar ôl marwolaeth yn cael i roi  </w:t>
      </w:r>
    </w:p>
    <w:p>
      <w:pPr>
        <w:numPr>
          <w:ilvl w:val="0"/>
          <w:numId w:val="2"/>
        </w:numPr>
      </w:pPr>
      <w:r>
        <w:t>yr amserlenni i’w dilyn ar gyfer gofal ar ôl marwolaeth, a pham eu bod yn bwysig  </w:t>
      </w:r>
    </w:p>
    <w:p>
      <w:pPr>
        <w:numPr>
          <w:ilvl w:val="0"/>
          <w:numId w:val="2"/>
        </w:numPr>
      </w:pPr>
      <w:r>
        <w:t>yr effaith ar amserlenni os yw’r unigolyn sydd wedi marw yn rhoddwr organau neu feinwe</w:t>
      </w:r>
    </w:p>
    <w:p>
      <w:pPr>
        <w:numPr>
          <w:ilvl w:val="0"/>
          <w:numId w:val="2"/>
        </w:numPr>
      </w:pPr>
      <w:r>
        <w:t>sut a pham y mae angen cynnwys eraill yng ngofal personol yr unigolyn sydd wedi marw, a phwysigrwydd eu paratoi a'u cefnogi  </w:t>
      </w:r>
    </w:p>
    <w:p>
      <w:pPr>
        <w:numPr>
          <w:ilvl w:val="0"/>
          <w:numId w:val="2"/>
        </w:numPr>
      </w:pPr>
      <w:r>
        <w:t>pwysigrwydd urddas, caredigrwydd a thosturi wrth gefnogi â gofal ar ôl marwolaeth</w:t>
      </w:r>
    </w:p>
    <w:p>
      <w:pPr>
        <w:numPr>
          <w:ilvl w:val="0"/>
          <w:numId w:val="2"/>
        </w:numPr>
      </w:pPr>
      <w:r>
        <w:t>sut mae rhoi cefnogaeth a chysur i eraill â’u hemosiynau cyn, yn ystod ac ar ôl gweld yr unigolyn sydd wedi marw</w:t>
      </w:r>
    </w:p>
    <w:p>
      <w:pPr>
        <w:numPr>
          <w:ilvl w:val="0"/>
          <w:numId w:val="2"/>
        </w:numPr>
      </w:pPr>
      <w:r>
        <w:t>pwysigrwydd defnyddio dulliau cyfathrebu ac iaith yn sensitif wrth gefnogi eraill yn ystod y gofal ar ôl marwolaeth</w:t>
      </w:r>
    </w:p>
    <w:p>
      <w:pPr>
        <w:numPr>
          <w:ilvl w:val="0"/>
          <w:numId w:val="2"/>
        </w:numPr>
      </w:pPr>
      <w:r>
        <w:t>cymhlethdod perthnasoedd a’r effaith y gall marwolaeth ei chael</w:t>
      </w:r>
    </w:p>
    <w:p>
      <w:pPr>
        <w:numPr>
          <w:ilvl w:val="0"/>
          <w:numId w:val="2"/>
        </w:numPr>
      </w:pPr>
      <w:r>
        <w:t>sut mae defnyddio egwyddorion sy'n ystyriol o drawma i gefnogi eraill yn ystod y gofal ar ôl marwolaeth</w:t>
      </w:r>
    </w:p>
    <w:p>
      <w:pPr>
        <w:numPr>
          <w:ilvl w:val="0"/>
          <w:numId w:val="2"/>
        </w:numPr>
      </w:pPr>
      <w:r>
        <w:t>y mathau o ddyfeisiau ac adnoddau digidol a all gefnogi gofal ar ôl marwolaeth</w:t>
      </w:r>
    </w:p>
    <w:p>
      <w:pPr>
        <w:numPr>
          <w:ilvl w:val="0"/>
          <w:numId w:val="2"/>
        </w:numPr>
      </w:pPr>
      <w:r>
        <w:t>y newidiadau corfforol sy'n digwydd ar ôl marwolaeth a sut y gallai hyn effeithio ar symud yr unigolyn sydd wedi marw</w:t>
      </w:r>
    </w:p>
    <w:p>
      <w:pPr>
        <w:numPr>
          <w:ilvl w:val="0"/>
          <w:numId w:val="2"/>
        </w:numPr>
      </w:pPr>
      <w:r>
        <w:t>y gwahanol weithgareddau esthetig y gellir eu cyflawni i baratoi'r unigolyn sydd wedi marw ar gyfer cael ei weld</w:t>
      </w:r>
    </w:p>
    <w:p>
      <w:pPr>
        <w:numPr>
          <w:ilvl w:val="0"/>
          <w:numId w:val="2"/>
        </w:numPr>
      </w:pPr>
      <w:r>
        <w:t>y gwahanol fathau o bethau ymolchi, deunyddiau a chyfarpar a ddefnyddir ar gyfer gofal personol yr unigolyn sydd wedi marw a phwysigrwydd dewis dillad</w:t>
      </w:r>
    </w:p>
    <w:p>
      <w:pPr>
        <w:numPr>
          <w:ilvl w:val="0"/>
          <w:numId w:val="2"/>
        </w:numPr>
      </w:pPr>
      <w:r>
        <w:t>dulliau i sicrhau y cadarnheir yn glir pwy yw’r unigolyn, a pham fod hyn yn bwysig</w:t>
      </w:r>
    </w:p>
    <w:p>
      <w:pPr>
        <w:numPr>
          <w:ilvl w:val="0"/>
          <w:numId w:val="2"/>
        </w:numPr>
      </w:pPr>
      <w:r>
        <w:t>sut mae cofnodi eitemau personol a phwysigrwydd nodi a ydynt am gael eu gadael ar yr unigolyn sydd wedi marw</w:t>
      </w:r>
    </w:p>
    <w:p>
      <w:pPr>
        <w:numPr>
          <w:ilvl w:val="0"/>
          <w:numId w:val="2"/>
        </w:numPr>
      </w:pPr>
      <w:r>
        <w:t>rôl amgylcheddau, amser, preifatrwydd a chyfleusterau i gefnogi eraill wrth weld yr unigolyn sydd wedi marw</w:t>
      </w:r>
    </w:p>
    <w:p>
      <w:pPr>
        <w:numPr>
          <w:ilvl w:val="0"/>
          <w:numId w:val="2"/>
        </w:numPr>
      </w:pPr>
      <w:r>
        <w:t>sut mae trosglwyddo'r unigolyn sydd wedi marw mewn ffordd urddasol a pharchus sy'n lleihau gofid i eraill  </w:t>
      </w:r>
    </w:p>
    <w:p>
      <w:pPr>
        <w:numPr>
          <w:ilvl w:val="0"/>
          <w:numId w:val="2"/>
        </w:numPr>
      </w:pPr>
      <w:r>
        <w:t>y dulliau atal a rheoli heintiau a ddefnyddir yn ystod y gofal ar ôl marwolaeth, a pham fod hyn yn bwysig</w:t>
      </w:r>
    </w:p>
    <w:p>
      <w:pPr>
        <w:numPr>
          <w:ilvl w:val="0"/>
          <w:numId w:val="2"/>
        </w:numPr>
      </w:pPr>
      <w:r>
        <w:t>y cofnodion ac adroddiadau sydd eu hangen ar gyfer cefnogi â gofal ar ôl marwolaeth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â gofal ar ôl marwolaeth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â gofal ar ôl marwolaeth</w:t>
      </w:r>
    </w:p>
    <w:p>
      <w:pPr>
        <w:numPr>
          <w:ilvl w:val="0"/>
          <w:numId w:val="2"/>
        </w:numPr>
      </w:pPr>
      <w:r>
        <w:t>sut mae gofyn am gymorth i chi eich hun a chyfeirio eraill am gymorth wrth ymdopi â marwolaeth  </w:t>
      </w:r>
    </w:p>
    <w:p>
      <w:pPr>
        <w:numPr>
          <w:ilvl w:val="0"/>
          <w:numId w:val="2"/>
        </w:numPr>
      </w:pPr>
      <w:r>
        <w:t>sut mae gweithio mewn partneriaeth ag eraill yn ystod y gofal ar ôl marwolaeth  </w:t>
      </w:r>
    </w:p>
    <w:p>
      <w:pPr>
        <w:numPr>
          <w:ilvl w:val="0"/>
          <w:numId w:val="2"/>
        </w:numPr>
      </w:pPr>
      <w:r>
        <w:t>sut mae ymateb i faterion a phryderon a allai godi wrth gefnogi â gofal ar ôl marwolaeth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â gofal ar ôl marwolaeth,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â gofal ar ôl marwolaeth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Marwolaeth,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B4E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325B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a5ee51a8a046f3" /><Relationship Type="http://schemas.openxmlformats.org/officeDocument/2006/relationships/numbering" Target="/word/numbering.xml" Id="Rf55887181bf94356" /><Relationship Type="http://schemas.openxmlformats.org/officeDocument/2006/relationships/settings" Target="/word/settings.xml" Id="R9ba24ee172074afc" /><Relationship Type="http://schemas.openxmlformats.org/officeDocument/2006/relationships/image" Target="/word/media/95064f33-25ff-4fb3-835f-d56f9917369e.png" Id="R5781a1dad09e4adb" /></Relationships>
</file>