
<file path=[Content_Types].xml><?xml version="1.0" encoding="utf-8"?>
<Types xmlns="http://schemas.openxmlformats.org/package/2006/content-types">
  <Default Extension="xml" ContentType="application/vnd.openxmlformats-officedocument.wordprocessingml.document.main+xml"/>
  <Default Extension="rels" ContentType="application/vnd.openxmlformats-package.relationships+xml"/>
  <Default Extension="png" ContentType="image/png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</Types>
</file>

<file path=_rels/.rels>&#65279;<?xml version="1.0" encoding="utf-8"?><Relationships xmlns="http://schemas.openxmlformats.org/package/2006/relationships"><Relationship Type="http://schemas.openxmlformats.org/officeDocument/2006/relationships/officeDocument" Target="/word/document.xml" Id="Ra28d96445b214763" 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a="http://schemas.openxmlformats.org/drawingml/2006/main" xmlns:c="http://schemas.openxmlformats.org/drawingml/2006/chart">
  <w:body>
    <w:tbl>
      <w:tblPr>
        <w:tblStyle w:val="TableGrid"/>
        <w:tblW w:w="5000" w:type="auto"/>
        <w:tblLook w:val="04A0"/>
        <w:tblBorders>
          <w:left w:val="none" w:sz="2" w:space="0" w:color="FFFFFF"/>
          <w:right w:val="none" w:sz="2" w:space="0" w:color="FFFFFF"/>
          <w:top w:val="none" w:sz="2" w:space="0" w:color="FFFFFF"/>
          <w:bottom w:val="none" w:sz="2" w:space="0" w:color="FFFFFF"/>
          <w:insideH w:val="none" w:sz="2" w:space="0" w:color="FFFFFF"/>
          <w:insideV w:val="none" w:sz="2" w:space="0" w:color="FFFFFF"/>
        </w:tblBorders>
      </w:tblPr>
      <w:tblGrid>
        <w:gridCol w:w="4510"/>
        <w:gridCol w:w="4510"/>
      </w:tblGrid>
      <w:tr>
        <w:tc>
          <w:tcPr>
            <w:tcW w:w="10000" w:type="dxa"/>
          </w:tcPr>
          <w:p>
            <w:pPr/>
            <w:r>
              <w:rPr>
                <w:b/>
              </w:rPr>
              <w:t>LANEq303</w:t>
            </w:r>
            <w:r>
              <w:rPr>
                <w:b/>
              </w:rPr>
              <w:br/>
            </w:r>
            <w:r>
              <w:rPr>
                <w:b/>
              </w:rPr>
              <w:t>Rhoi triniaethau gofal iechyd sylfaenol i geffylau</w:t>
            </w:r>
            <w:r>
              <w:rPr>
                <w:b/>
              </w:rPr>
              <w:br/>
            </w:r>
          </w:p>
        </w:tc>
        <w:tc>
          <w:tcPr>
            <w:tcW w:w="4000" w:type="dxa"/>
          </w:tcPr>
          <w:p>
            <w:pPr>
              <w:jc w:val="right"/>
            </w:pPr>
            <w:r xmlns:w="http://schemas.openxmlformats.org/wordprocessingml/2006/main">
              <w:drawing>
                <wp:inline xmlns:wp="http://schemas.openxmlformats.org/drawingml/2006/wordprocessingDrawing" distT="0" distB="0" distL="0" distR="0">
                  <wp:extent cx="1358900" cy="736600"/>
                  <wp:effectExtent l="0" t="0" r="0" b="0"/>
                  <wp:docPr id="1" name="" descr="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"/>
                          <pic:cNvPicPr/>
                        </pic:nvPicPr>
                        <pic:blipFill>
                          <a:blip xmlns:r="http://schemas.openxmlformats.org/officeDocument/2006/relationships" r:embed="Rd82ae8bf9c56487e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1358900" cy="736600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</w:tc>
      </w:tr>
    </w:tbl>
    <w:p>
      <w:pPr/>
      <w:r>
        <w:rPr>
          <w:lang w:val="en-GB"/>
          <w:b/>
        </w:rPr>
        <w:t>Trosolwg</w:t>
      </w:r>
      <w:r>
        <w:rPr>
          <w:lang w:val="en-GB"/>
          <w:b/>
        </w:rPr>
        <w:br/>
      </w:r>
    </w:p>
    <w:p>
      <w:pPr/>
      <w:r>
        <w:rPr>
          <w:lang w:val="en-GB"/>
        </w:rPr>
        <w:t>Mae'r safon hon yn cynnwys rhoi triniaethau gofal iechyd sylfaenol i geffylau, yn unol â chyfarwyddiadau milfeddygol a gofynion deddfwriaethol. Mae hefyd yn cynnwys adnabod a thrin problemau iechyd a mân anhwylderau.</w:t>
      </w:r>
    </w:p>
    <w:p>
      <w:pPr/>
      <w:r>
        <w:rPr>
          <w:lang w:val="en-GB"/>
        </w:rPr>
        <w:t>Mae'r safon hon yn berthnasol i bob math o geffylau.  Dylech wybod ble i gael cymorth os ydych yn cael unrhyw broblemau.</w:t>
      </w:r>
    </w:p>
    <w:p>
      <w:pPr/>
      <w:r>
        <w:rPr>
          <w:lang w:val="en-GB"/>
        </w:rPr>
        <w:t>Bydd angen i chi fod yn gwbl ymwybodol o bwysigrwydd iechyd, diogelwch a lles anifeiliaid mewn cysylltiad â'r gweithgaredd hwn.</w:t>
      </w:r>
    </w:p>
    <w:p>
      <w:pPr/>
      <w:r>
        <w:rPr>
          <w:lang w:val="en-GB"/>
        </w:rPr>
        <w:t>Bydd angen i chi adnabod peryglon ac asesu risg yn y gweithle.</w:t>
      </w:r>
    </w:p>
    <w:p>
      <w:pPr>
        <w:sectPr w:rsidR="003E25F4" w:rsidSect="00FC3028">
          <w:pgSz w:w="11906" w:h="16838"/>
          <w:pgMar w:top="1440" w:right="1440" w:bottom="1440" w:left="1440" w:header="708" w:footer="708" w:gutter="0"/>
          <w:cols w:space="708"/>
          <w:docGrid w:linePitch="360"/>
        </w:sectPr>
      </w:pPr>
    </w:p>
    <w:p>
      <w:pPr/>
      <w:r>
        <w:rPr>
          <w:lang w:val="en-GB"/>
          <w:b/>
        </w:rPr>
        <w:t>Meini prawf perfformiad</w:t>
      </w:r>
      <w:r>
        <w:rPr>
          <w:lang w:val="en-GB"/>
          <w:b/>
        </w:rPr>
        <w:br/>
      </w:r>
    </w:p>
    <w:p>
      <w:pPr/>
      <w:r>
        <w:rPr>
          <w:lang w:val="en-GB"/>
        </w:rPr>
        <w:t>Rhaid i chi allu:</w:t>
      </w:r>
      <w:r>
        <w:rPr>
          <w:lang w:val="en-GB"/>
        </w:rPr>
        <w:br/>
      </w:r>
    </w:p>
    <w:p>
      <w:pPr>
        <w:numPr>
          <w:ilvl w:val="0"/>
          <w:numId w:val="1"/>
        </w:numPr>
      </w:pPr>
      <w:r>
        <w:t>dewis a gwisgo'r dillad a'r offer amddiffynnol personol priodol ar gyfer y gweithgaredd</w:t>
      </w:r>
    </w:p>
    <w:p>
      <w:pPr>
        <w:numPr>
          <w:ilvl w:val="0"/>
          <w:numId w:val="1"/>
        </w:numPr>
      </w:pPr>
      <w:r>
        <w:t>storio a gweinyddu cyffuriau, meddyginiaethau ac offer a ddefnyddir i roi triniaethau gofal iechyd sylfaenol i geffylau, yn unol â chyfarwyddiadau milfeddygol a gofynion iechyd a diogelwch</w:t>
      </w:r>
    </w:p>
    <w:p>
      <w:pPr>
        <w:numPr>
          <w:ilvl w:val="0"/>
          <w:numId w:val="1"/>
        </w:numPr>
      </w:pPr>
      <w:r>
        <w:t>defnyddio meddyginiaeth gyfredol heb ei halogi'n unig ar gyfer y ceffyl perthnasol</w:t>
      </w:r>
    </w:p>
    <w:p>
      <w:pPr>
        <w:numPr>
          <w:ilvl w:val="0"/>
          <w:numId w:val="1"/>
        </w:numPr>
      </w:pPr>
      <w:r>
        <w:t>ymdrin ac atal y ceffyl mewn ffordd nad yw'n peryglu lles yr anifail, yn osgoi ymddygiad sy'n achosi pryder o ran lles ac yn cynnal iechyd a diogelwch</w:t>
      </w:r>
    </w:p>
    <w:p>
      <w:pPr>
        <w:numPr>
          <w:ilvl w:val="0"/>
          <w:numId w:val="1"/>
        </w:numPr>
      </w:pPr>
      <w:r>
        <w:t>rhoi'r driniaeth gofal iechyd sylfaenol i'r ceffyl fel y nodir, gan ddefnyddio'r dechneg a'r amlder cywir</w:t>
      </w:r>
    </w:p>
    <w:p>
      <w:pPr>
        <w:numPr>
          <w:ilvl w:val="0"/>
          <w:numId w:val="1"/>
        </w:numPr>
      </w:pPr>
      <w:r>
        <w:t>gweinyddu gweithdrefnau brys lle bo angen</w:t>
      </w:r>
    </w:p>
    <w:p>
      <w:pPr>
        <w:numPr>
          <w:ilvl w:val="0"/>
          <w:numId w:val="1"/>
        </w:numPr>
      </w:pPr>
      <w:r>
        <w:t>cael cymorth heb oedi pan nad yw'n bosibl gweinyddu'r driniaeth gofal iechyd sylfaenol i'r ceffyl</w:t>
      </w:r>
    </w:p>
    <w:p>
      <w:pPr>
        <w:numPr>
          <w:ilvl w:val="0"/>
          <w:numId w:val="1"/>
        </w:numPr>
      </w:pPr>
      <w:r>
        <w:t>gweithredu gofal, deiet ac ymarfer arferol priodol ar gyfer y ceffyl ar ôl y driniaeth</w:t>
      </w:r>
    </w:p>
    <w:p>
      <w:pPr>
        <w:numPr>
          <w:ilvl w:val="0"/>
          <w:numId w:val="1"/>
        </w:numPr>
      </w:pPr>
      <w:r>
        <w:t>arsylwi ceffylau ar ôl y driniaeth a hysbysu ynghylch unrhyw arwyddion anarferol ar unwaith</w:t>
      </w:r>
    </w:p>
    <w:p>
      <w:pPr>
        <w:numPr>
          <w:ilvl w:val="0"/>
          <w:numId w:val="1"/>
        </w:numPr>
      </w:pPr>
      <w:r>
        <w:t>cymryd camau priodol os rhagwelir clefydau heintus neu heintiol</w:t>
      </w:r>
    </w:p>
    <w:p>
      <w:pPr>
        <w:numPr>
          <w:ilvl w:val="0"/>
          <w:numId w:val="1"/>
        </w:numPr>
      </w:pPr>
      <w:r>
        <w:t>sicrhau bod lefelau priodol o hylendid a bioddiogelwch yn cael eu cynnal</w:t>
      </w:r>
    </w:p>
    <w:p>
      <w:pPr>
        <w:numPr>
          <w:ilvl w:val="0"/>
          <w:numId w:val="1"/>
        </w:numPr>
      </w:pPr>
      <w:r>
        <w:t>cadw cofnodion cywir a diweddar fel sy'n ofynnol gan ddeddfwriaeth berthnasol a'r sefydliad yr ydych yn gweithio iddo</w:t>
      </w:r>
    </w:p>
    <w:p>
      <w:pPr>
        <w:numPr>
          <w:ilvl w:val="0"/>
          <w:numId w:val="1"/>
        </w:numPr>
      </w:pPr>
      <w:r>
        <w:t>cyfathrebu gydag eraill a chynnal gwaith tîm affeithiol</w:t>
      </w:r>
    </w:p>
    <w:p>
      <w:pPr>
        <w:numPr>
          <w:ilvl w:val="0"/>
          <w:numId w:val="1"/>
        </w:numPr>
      </w:pPr>
      <w:r>
        <w:t>sicrhau bod gwastraff o driniaethau gofal iechyd yn cael eu gwaredu'n ddiogel ac yn gywir</w:t>
      </w:r>
    </w:p>
    <w:p>
      <w:pPr>
        <w:numPr>
          <w:ilvl w:val="0"/>
          <w:numId w:val="1"/>
        </w:numPr>
      </w:pPr>
      <w:r>
        <w:t>monitro a chynnal eich iechyd a'ch diogelwch chi ac eraill, a lles y ceffyl, yn ystod y gweithgaredd</w:t>
      </w:r>
    </w:p>
    <w:p>
      <w:pPr/>
      <w:r>
        <w:rPr>
          <w:lang w:val="en-GB"/>
        </w:rPr>
        <w:br/>
      </w:r>
    </w:p>
    <w:p>
      <w:pPr>
        <w:sectPr w:rsidR="003E25F4" w:rsidSect="00FC3028">
          <w:pgSz w:w="11906" w:h="16838"/>
          <w:pgMar w:top="1440" w:right="1440" w:bottom="1440" w:left="1440" w:header="708" w:footer="708" w:gutter="0"/>
          <w:cols w:space="708"/>
          <w:docGrid w:linePitch="360"/>
        </w:sectPr>
      </w:pPr>
    </w:p>
    <w:p>
      <w:pPr/>
      <w:r>
        <w:rPr>
          <w:lang w:val="en-GB"/>
          <w:b/>
        </w:rPr>
        <w:t>Gwybodaeth a dealltwriaeth</w:t>
      </w:r>
      <w:r>
        <w:rPr>
          <w:lang w:val="en-GB"/>
          <w:b/>
        </w:rPr>
        <w:br/>
      </w:r>
    </w:p>
    <w:p>
      <w:pPr/>
      <w:r>
        <w:rPr>
          <w:lang w:val="en-GB"/>
        </w:rPr>
        <w:t>Mae angen i chi wybod a deall:</w:t>
      </w:r>
      <w:r>
        <w:rPr>
          <w:lang w:val="en-GB"/>
        </w:rPr>
        <w:br/>
      </w:r>
    </w:p>
    <w:p>
      <w:pPr>
        <w:numPr>
          <w:ilvl w:val="0"/>
          <w:numId w:val="2"/>
        </w:numPr>
      </w:pPr>
      <w:r>
        <w:t>sut i ddewis, defnyddio a gofalu am offer amddiffynnol personol</w:t>
      </w:r>
    </w:p>
    <w:p>
      <w:pPr>
        <w:numPr>
          <w:ilvl w:val="0"/>
          <w:numId w:val="2"/>
        </w:numPr>
      </w:pPr>
      <w:r>
        <w:t>pam y mae angen dehongli cyfarwyddiadau meddyginiaethau yn gywir</w:t>
      </w:r>
    </w:p>
    <w:p>
      <w:pPr>
        <w:numPr>
          <w:ilvl w:val="0"/>
          <w:numId w:val="2"/>
        </w:numPr>
      </w:pPr>
      <w:r>
        <w:t>sut i ddefnyddio'r offer sy'n briodol ar gyfer trin y ceffyl</w:t>
      </w:r>
    </w:p>
    <w:p>
      <w:pPr>
        <w:numPr>
          <w:ilvl w:val="0"/>
          <w:numId w:val="2"/>
        </w:numPr>
      </w:pPr>
      <w:r>
        <w:t>pwysigrwydd defnyddio technegau ymdrin ac atal a lleihau lefelau straen i ddiogelwch y triniwr a'r ceffyl</w:t>
      </w:r>
    </w:p>
    <w:p>
      <w:pPr>
        <w:numPr>
          <w:ilvl w:val="0"/>
          <w:numId w:val="2"/>
        </w:numPr>
      </w:pPr>
      <w:r>
        <w:t>y gweithdrefnau glanhau a hylendid i'w dilyn wrth gyflwyno triniaethau gofal iechyd er mwyn lleihau milheintiau a chlefydau trosglwyddadwy eraill</w:t>
      </w:r>
    </w:p>
    <w:p>
      <w:pPr>
        <w:numPr>
          <w:ilvl w:val="0"/>
          <w:numId w:val="2"/>
        </w:numPr>
      </w:pPr>
      <w:r>
        <w:t>sut i roi triniaethau gofal iechyd a gweithdrefnau brys i geffylau</w:t>
      </w:r>
    </w:p>
    <w:p>
      <w:pPr>
        <w:numPr>
          <w:ilvl w:val="0"/>
          <w:numId w:val="2"/>
        </w:numPr>
      </w:pPr>
      <w:r>
        <w:t>sgil-effeithiau neu adweithiau niweidiol i feddyginiaeth a allai ddigwydd i'r ceffyl</w:t>
      </w:r>
    </w:p>
    <w:p>
      <w:pPr>
        <w:numPr>
          <w:ilvl w:val="0"/>
          <w:numId w:val="2"/>
        </w:numPr>
      </w:pPr>
      <w:r>
        <w:t>y rhesymau dros a'r gofynion deddfwriaethol ar gyfer atal y defnydd o gyffuriau</w:t>
      </w:r>
    </w:p>
    <w:p>
      <w:pPr>
        <w:numPr>
          <w:ilvl w:val="0"/>
          <w:numId w:val="2"/>
        </w:numPr>
      </w:pPr>
      <w:r>
        <w:t>y gofynion deddfwriaethol ar gyfer defnyddio a storio cyffuriau</w:t>
      </w:r>
    </w:p>
    <w:p>
      <w:pPr>
        <w:numPr>
          <w:ilvl w:val="0"/>
          <w:numId w:val="2"/>
        </w:numPr>
      </w:pPr>
      <w:r>
        <w:t>arwyddocâd dyddiadau dod i ben ar gyffuriau a meddyginiaethau a'r gweithdrefnau cywir ar gyfer eu gwaredu</w:t>
      </w:r>
    </w:p>
    <w:p>
      <w:pPr>
        <w:numPr>
          <w:ilvl w:val="0"/>
          <w:numId w:val="2"/>
        </w:numPr>
      </w:pPr>
      <w:r>
        <w:t>y gweithdrefnau ar gyfer gwaredu gwastraff a nodwyddau wedi eu halogi a heb eu halogi yn ddiogel</w:t>
      </w:r>
    </w:p>
    <w:p>
      <w:pPr>
        <w:numPr>
          <w:ilvl w:val="0"/>
          <w:numId w:val="2"/>
        </w:numPr>
      </w:pPr>
      <w:r>
        <w:t>y camau priodol os rhagwelir neu y gwelir clefydau heintus neu heintiol</w:t>
      </w:r>
    </w:p>
    <w:p>
      <w:pPr>
        <w:numPr>
          <w:ilvl w:val="0"/>
          <w:numId w:val="2"/>
        </w:numPr>
      </w:pPr>
      <w:r>
        <w:t>pwysigrwydd gwerthuso'r camau a gymerir wrth ymdrin ag unrhyw broblemau yn rhoi triniaethau gofal iechyd sylfaenol i geffylau</w:t>
      </w:r>
    </w:p>
    <w:p>
      <w:pPr>
        <w:numPr>
          <w:ilvl w:val="0"/>
          <w:numId w:val="2"/>
        </w:numPr>
      </w:pPr>
      <w:r>
        <w:t>pwysigrwydd cadw cofnodion cyflawn a chywir fel sy'n ofynnol gan ddeddfwriaeth berthnasol a'r sefydliad yr ydych yn gweithio iddo</w:t>
      </w:r>
    </w:p>
    <w:p>
      <w:pPr>
        <w:numPr>
          <w:ilvl w:val="0"/>
          <w:numId w:val="2"/>
        </w:numPr>
      </w:pPr>
      <w:r>
        <w:t>y peryglon i geffylau, i chi eich hun ac i eraill a sut y caiff y rhain eu rheoli</w:t>
      </w:r>
    </w:p>
    <w:p>
      <w:pPr>
        <w:numPr>
          <w:ilvl w:val="0"/>
          <w:numId w:val="2"/>
        </w:numPr>
      </w:pPr>
      <w:r>
        <w:t>eich cyfrifoldebau yn unol â deddfwriaeth a chodau ymarfer iechyd a lles anifeiliaid ac iechyd a diogelwch perthnasol</w:t>
      </w:r>
    </w:p>
    <w:p>
      <w:pPr/>
      <w:r>
        <w:rPr>
          <w:lang w:val="en-GB"/>
        </w:rPr>
        <w:br/>
      </w:r>
    </w:p>
    <w:p>
      <w:pPr>
        <w:sectPr w:rsidR="003E25F4" w:rsidSect="00FC3028">
          <w:pgSz w:w="11906" w:h="16838"/>
          <w:pgMar w:top="1440" w:right="1440" w:bottom="1440" w:left="1440" w:header="708" w:footer="708" w:gutter="0"/>
          <w:cols w:space="708"/>
          <w:docGrid w:linePitch="360"/>
        </w:sectPr>
      </w:pPr>
    </w:p>
    <w:p>
      <w:pPr/>
      <w:r>
        <w:rPr>
          <w:lang w:val="en-GB"/>
          <w:b/>
        </w:rPr>
        <w:t>Cwmpas/Ystod</w:t>
      </w:r>
      <w:r>
        <w:rPr>
          <w:lang w:val="en-GB"/>
          <w:b/>
        </w:rPr>
        <w:br/>
      </w:r>
    </w:p>
    <w:p>
      <w:pPr/>
      <w:r>
        <w:rPr>
          <w:lang w:val="en-GB"/>
        </w:rPr>
        <w:t>Cyflenwi'r feddyginiaeth ganlynol:</w:t>
      </w:r>
    </w:p>
    <w:p>
      <w:pPr>
        <w:numPr>
          <w:ilvl w:val="0"/>
          <w:numId w:val="3"/>
        </w:numPr>
      </w:pPr>
      <w:r>
        <w:t>meddyginiaeth </w:t>
      </w:r>
    </w:p>
    <w:p>
      <w:pPr>
        <w:numPr>
          <w:ilvl w:val="0"/>
          <w:numId w:val="3"/>
        </w:numPr>
      </w:pPr>
      <w:r>
        <w:t>presgripsiwn yn unig</w:t>
      </w:r>
    </w:p>
    <w:p>
      <w:pPr>
        <w:numPr>
          <w:ilvl w:val="0"/>
          <w:numId w:val="3"/>
        </w:numPr>
      </w:pPr>
      <w:r>
        <w:t>meddyginiaeth dros y cownter</w:t>
      </w:r>
    </w:p>
    <w:p>
      <w:pPr>
        <w:numPr>
          <w:ilvl w:val="0"/>
          <w:numId w:val="3"/>
        </w:numPr>
      </w:pPr>
      <w:r>
        <w:t>rheoli parasitiaid</w:t>
      </w:r>
    </w:p>
    <w:p>
      <w:pPr/>
      <w:r>
        <w:rPr>
          <w:lang w:val="en-GB"/>
        </w:rPr>
        <w:br/>
      </w:r>
    </w:p>
    <w:p>
      <w:pPr/>
      <w:r>
        <w:rPr>
          <w:lang w:val="en-GB"/>
        </w:rPr>
        <w:t>Cyflenwi'r mathau canlynol o driniaeth:</w:t>
      </w:r>
    </w:p>
    <w:p>
      <w:pPr>
        <w:numPr>
          <w:ilvl w:val="0"/>
          <w:numId w:val="4"/>
        </w:numPr>
      </w:pPr>
      <w:r>
        <w:t>gweithdrefnau glanhau a hylendid</w:t>
      </w:r>
    </w:p>
    <w:p>
      <w:pPr>
        <w:numPr>
          <w:ilvl w:val="0"/>
          <w:numId w:val="4"/>
        </w:numPr>
      </w:pPr>
      <w:r>
        <w:t>triniaethau lleol</w:t>
      </w:r>
    </w:p>
    <w:p>
      <w:pPr>
        <w:numPr>
          <w:ilvl w:val="0"/>
          <w:numId w:val="4"/>
        </w:numPr>
      </w:pPr>
      <w:r>
        <w:t>triniaethau trwy'r geg</w:t>
      </w:r>
    </w:p>
    <w:p>
      <w:pPr>
        <w:numPr>
          <w:ilvl w:val="0"/>
          <w:numId w:val="4"/>
        </w:numPr>
      </w:pPr>
      <w:r>
        <w:t>triniaethau ar gyfer clwyfau</w:t>
      </w:r>
    </w:p>
    <w:p>
      <w:pPr/>
      <w:r>
        <w:rPr>
          <w:lang w:val="en-GB"/>
        </w:rPr>
        <w:br/>
      </w:r>
    </w:p>
    <w:p>
      <w:pPr>
        <w:sectPr w:rsidR="003E25F4" w:rsidSect="00FC3028">
          <w:pgSz w:w="11906" w:h="16838"/>
          <w:pgMar w:top="1440" w:right="1440" w:bottom="1440" w:left="1440" w:header="708" w:footer="708" w:gutter="0"/>
          <w:cols w:space="708"/>
          <w:docGrid w:linePitch="360"/>
        </w:sectPr>
      </w:pPr>
    </w:p>
    <w:p>
      <w:pPr>
        <w:sectPr w:rsidR="003E25F4" w:rsidSect="00FC3028">
          <w:pgSz w:w="11906" w:h="16838"/>
          <w:pgMar w:top="1440" w:right="1440" w:bottom="1440" w:left="1440" w:header="708" w:footer="708" w:gutter="0"/>
          <w:cols w:space="708"/>
          <w:docGrid w:linePitch="360"/>
        </w:sectPr>
      </w:pPr>
    </w:p>
    <w:p>
      <w:pPr/>
      <w:r>
        <w:rPr>
          <w:lang w:val="en-GB"/>
          <w:b/>
        </w:rPr>
        <w:t>Geirfa</w:t>
      </w:r>
      <w:r>
        <w:rPr>
          <w:lang w:val="en-GB"/>
          <w:b/>
        </w:rPr>
        <w:br/>
      </w:r>
    </w:p>
    <w:p>
      <w:pPr/>
      <w:r>
        <w:rPr>
          <w:lang w:val="en-GB"/>
        </w:rPr>
        <w:t>Gallai'r triniaethau gynnwys:</w:t>
      </w:r>
    </w:p>
    <w:p>
      <w:pPr>
        <w:numPr>
          <w:ilvl w:val="0"/>
          <w:numId w:val="5"/>
        </w:numPr>
      </w:pPr>
      <w:r>
        <w:t>powltrisiau (poeth neu oer)</w:t>
      </w:r>
    </w:p>
    <w:p>
      <w:pPr>
        <w:numPr>
          <w:ilvl w:val="0"/>
          <w:numId w:val="5"/>
        </w:numPr>
      </w:pPr>
      <w:r>
        <w:t>golchi mewn twba</w:t>
      </w:r>
    </w:p>
    <w:p>
      <w:pPr>
        <w:numPr>
          <w:ilvl w:val="0"/>
          <w:numId w:val="5"/>
        </w:numPr>
      </w:pPr>
      <w:r>
        <w:t>chwistrellu</w:t>
      </w:r>
    </w:p>
    <w:p>
      <w:pPr>
        <w:numPr>
          <w:ilvl w:val="0"/>
          <w:numId w:val="5"/>
        </w:numPr>
      </w:pPr>
      <w:r>
        <w:t>twymolchi</w:t>
      </w:r>
    </w:p>
    <w:p>
      <w:pPr/>
      <w:r>
        <w:rPr>
          <w:lang w:val="en-GB"/>
        </w:rPr>
        <w:br/>
      </w:r>
    </w:p>
    <w:p>
      <w:pPr/>
      <w:r>
        <w:rPr>
          <w:lang w:val="en-GB"/>
        </w:rPr>
        <w:t>Gallai'r meddyginiaethau gynnwys:</w:t>
      </w:r>
    </w:p>
    <w:p>
      <w:pPr>
        <w:numPr>
          <w:ilvl w:val="0"/>
          <w:numId w:val="6"/>
        </w:numPr>
      </w:pPr>
      <w:r>
        <w:t>pastau</w:t>
      </w:r>
    </w:p>
    <w:p>
      <w:pPr>
        <w:numPr>
          <w:ilvl w:val="0"/>
          <w:numId w:val="6"/>
        </w:numPr>
      </w:pPr>
      <w:r>
        <w:t>powdrau</w:t>
      </w:r>
    </w:p>
    <w:p>
      <w:pPr>
        <w:numPr>
          <w:ilvl w:val="0"/>
          <w:numId w:val="6"/>
        </w:numPr>
      </w:pPr>
      <w:r>
        <w:t>hylif drwy'r geg neu mewn bwyd</w:t>
      </w:r>
    </w:p>
    <w:p>
      <w:pPr/>
      <w:r>
        <w:rPr>
          <w:lang w:val="en-GB"/>
        </w:rPr>
        <w:br/>
      </w:r>
    </w:p>
    <w:p>
      <w:pPr/>
      <w:r>
        <w:rPr>
          <w:lang w:val="en-GB"/>
        </w:rPr>
        <w:t>Gallai triniaethau lleol gynnwys:</w:t>
      </w:r>
    </w:p>
    <w:p>
      <w:pPr>
        <w:numPr>
          <w:ilvl w:val="0"/>
          <w:numId w:val="7"/>
        </w:numPr>
      </w:pPr>
      <w:r>
        <w:t>powdrau gwrth-heintiol</w:t>
      </w:r>
    </w:p>
    <w:p>
      <w:pPr>
        <w:numPr>
          <w:ilvl w:val="0"/>
          <w:numId w:val="7"/>
        </w:numPr>
      </w:pPr>
      <w:r>
        <w:t>elïau</w:t>
      </w:r>
    </w:p>
    <w:p>
      <w:pPr>
        <w:numPr>
          <w:ilvl w:val="0"/>
          <w:numId w:val="7"/>
        </w:numPr>
      </w:pPr>
      <w:r>
        <w:t>golchiadau</w:t>
      </w:r>
    </w:p>
    <w:p>
      <w:pPr/>
      <w:r>
        <w:rPr>
          <w:lang w:val="en-GB"/>
        </w:rPr>
        <w:br/>
      </w:r>
    </w:p>
    <w:p>
      <w:pPr/>
      <w:r>
        <w:rPr>
          <w:lang w:val="en-GB"/>
          <w:b/>
        </w:rPr>
        <w:t>Datblygwyd gan</w:t>
      </w:r>
    </w:p>
    <w:p>
      <w:pPr/>
      <w:r>
        <w:rPr>
          <w:lang w:val="en-GB"/>
        </w:rPr>
        <w:t>Lantra</w:t>
      </w:r>
      <w:r>
        <w:rPr>
          <w:lang w:val="en-GB"/>
        </w:rPr>
        <w:br/>
      </w:r>
    </w:p>
    <w:p>
      <w:pPr/>
      <w:r>
        <w:rPr>
          <w:lang w:val="en-GB"/>
          <w:b/>
        </w:rPr>
        <w:t>Dyddiad cymeradwyo</w:t>
      </w:r>
    </w:p>
    <w:p>
      <w:pPr/>
      <w:r>
        <w:rPr>
          <w:lang w:val="en-GB"/>
        </w:rPr>
        <w:t>31 Ion 2017</w:t>
      </w:r>
      <w:r>
        <w:rPr>
          <w:lang w:val="en-GB"/>
        </w:rPr>
        <w:br/>
      </w:r>
    </w:p>
    <w:p>
      <w:pPr/>
      <w:r>
        <w:rPr>
          <w:lang w:val="en-GB"/>
          <w:b/>
        </w:rPr>
        <w:t>Dyddiad Adolygu Dangosol</w:t>
      </w:r>
    </w:p>
    <w:p>
      <w:pPr/>
      <w:r>
        <w:rPr>
          <w:lang w:val="en-GB"/>
        </w:rPr>
        <w:t>31 Ion 2021</w:t>
      </w:r>
      <w:r>
        <w:rPr>
          <w:lang w:val="en-GB"/>
        </w:rPr>
        <w:br/>
      </w:r>
    </w:p>
    <w:p>
      <w:pPr/>
      <w:r>
        <w:rPr>
          <w:lang w:val="en-GB"/>
          <w:b/>
        </w:rPr>
        <w:t>Dilysrwydd</w:t>
      </w:r>
    </w:p>
    <w:p>
      <w:pPr/>
      <w:r>
        <w:rPr>
          <w:lang w:val="en-GB"/>
        </w:rPr>
        <w:t>Ar hyn o bryd</w:t>
      </w:r>
      <w:r>
        <w:rPr>
          <w:lang w:val="en-GB"/>
        </w:rPr>
        <w:br/>
      </w:r>
    </w:p>
    <w:p>
      <w:pPr/>
      <w:r>
        <w:rPr>
          <w:lang w:val="en-GB"/>
          <w:b/>
        </w:rPr>
        <w:t>Statws</w:t>
      </w:r>
    </w:p>
    <w:p>
      <w:pPr/>
      <w:r>
        <w:rPr>
          <w:lang w:val="en-GB"/>
        </w:rPr>
        <w:t>Gwreiddiol</w:t>
      </w:r>
      <w:r>
        <w:rPr>
          <w:lang w:val="en-GB"/>
        </w:rPr>
        <w:br/>
      </w:r>
    </w:p>
    <w:p>
      <w:pPr/>
      <w:r>
        <w:rPr>
          <w:lang w:val="en-GB"/>
          <w:b/>
        </w:rPr>
        <w:t>Sefydliad cychwynnol</w:t>
      </w:r>
    </w:p>
    <w:p>
      <w:pPr/>
      <w:r>
        <w:rPr>
          <w:lang w:val="en-GB"/>
        </w:rPr>
        <w:t>Lantra</w:t>
      </w:r>
      <w:r>
        <w:rPr>
          <w:lang w:val="en-GB"/>
        </w:rPr>
        <w:br/>
      </w:r>
    </w:p>
    <w:p>
      <w:pPr/>
      <w:r>
        <w:rPr>
          <w:lang w:val="en-GB"/>
          <w:b/>
        </w:rPr>
        <w:t>RCU gwreiddiol</w:t>
      </w:r>
    </w:p>
    <w:p>
      <w:pPr/>
      <w:r>
        <w:rPr>
          <w:lang w:val="en-GB"/>
        </w:rPr>
        <w:t>LANEq303</w:t>
      </w:r>
      <w:r>
        <w:rPr>
          <w:lang w:val="en-GB"/>
        </w:rPr>
        <w:br/>
      </w:r>
    </w:p>
    <w:p>
      <w:pPr/>
      <w:r>
        <w:rPr>
          <w:lang w:val="en-GB"/>
          <w:b/>
        </w:rPr>
        <w:t>Galwedigaethau perthnasol</w:t>
      </w:r>
    </w:p>
    <w:p>
      <w:pPr/>
      <w:r>
        <w:rPr>
          <w:lang w:val="en-GB"/>
        </w:rPr>
        <w:t>Cynorthwyydd Ceffylau</w:t>
      </w:r>
      <w:r>
        <w:rPr>
          <w:lang w:val="en-GB"/>
        </w:rPr>
        <w:br/>
      </w:r>
    </w:p>
    <w:p>
      <w:pPr/>
      <w:r>
        <w:rPr>
          <w:lang w:val="en-GB"/>
          <w:b/>
        </w:rPr>
        <w:t>Cyfres/Set</w:t>
      </w:r>
    </w:p>
    <w:p>
      <w:pPr/>
      <w:r>
        <w:rPr>
          <w:lang w:val="en-GB"/>
        </w:rPr>
        <w:t>Ceffylau</w:t>
      </w:r>
      <w:r>
        <w:rPr>
          <w:lang w:val="en-GB"/>
        </w:rPr>
        <w:br/>
      </w:r>
    </w:p>
    <w:p>
      <w:pPr/>
      <w:r>
        <w:rPr>
          <w:lang w:val="en-GB"/>
          <w:b/>
        </w:rPr>
        <w:t>Geiriau Allweddol</w:t>
      </w:r>
    </w:p>
    <w:p>
      <w:pPr/>
      <w:r>
        <w:rPr>
          <w:lang w:val="en-GB"/>
        </w:rPr>
        <w:t>ceffylau; ceffyl; iechyd a lles anifeiliaid; triniaethau</w:t>
      </w:r>
      <w:r>
        <w:rPr>
          <w:lang w:val="en-GB"/>
        </w:rPr>
        <w:br/>
      </w:r>
    </w:p>
    <w:sectPr w:rsidR="003E25F4" w:rsidSect="00FC3028">
      <w:pgSz w:w="11906" w:h="16838"/>
      <w:pgMar w:top="1440" w:right="1440" w:bottom="1440" w:left="1440" w:header="708" w:footer="708" w:gutter="0"/>
      <w:cols w:space="708"/>
      <w:docGrid w:linePitch="360"/>
    </w:sectPr>
  </w:body>
</w:document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CED5C4B"/>
    <w:multiLevelType w:val="hybridMultilevel"/>
    <w:tmpl w:val="E7CC04EC"/>
    <w:lvl w:ilvl="0" w:tplc="04090001">
      <w:start w:val="1"/>
      <w:numFmt w:val="bullet"/>
      <w:lvlText w:val=""/>
      <w:lvlJc w:val="left"/>
      <w:pPr>
        <w:ind w:left="36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72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108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144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288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3240" w:hanging="360"/>
      </w:pPr>
      <w:rPr>
        <w:rFonts w:ascii="Wingdings" w:hAnsi="Wingdings" w:hint="default"/>
      </w:rPr>
    </w:lvl>
  </w:abstractNum>
  <w:abstractNum w:abstractNumId="1">
    <w:nsid w:val="A6BE54C4"/>
    <w:multiLevelType w:val="hybridMultilevel"/>
    <w:tmpl w:val="E7CC04EC"/>
    <w:lvl w:ilvl="0" w:tplc="04090001">
      <w:start w:val="1"/>
      <w:numFmt w:val="bullet"/>
      <w:lvlText w:val=""/>
      <w:lvlJc w:val="left"/>
      <w:pPr>
        <w:ind w:left="36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72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108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144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288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3240" w:hanging="360"/>
      </w:pPr>
      <w:rPr>
        <w:rFonts w:ascii="Wingdings" w:hAnsi="Wingdings" w:hint="default"/>
      </w:rPr>
    </w:lvl>
  </w:abstractNum>
  <w:abstractNum w:abstractNumId="2">
    <w:nsid w:val="CDBAA6E7"/>
    <w:multiLevelType w:val="hybridMultilevel"/>
    <w:tmpl w:val="E7CC04EC"/>
    <w:lvl w:ilvl="0" w:tplc="04090001">
      <w:start w:val="1"/>
      <w:numFmt w:val="bullet"/>
      <w:lvlText w:val=""/>
      <w:lvlJc w:val="left"/>
      <w:pPr>
        <w:ind w:left="36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72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108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144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288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3240" w:hanging="360"/>
      </w:pPr>
      <w:rPr>
        <w:rFonts w:ascii="Wingdings" w:hAnsi="Wingdings" w:hint="default"/>
      </w:rPr>
    </w:lvl>
  </w:abstractNum>
  <w:abstractNum w:abstractNumId="3">
    <w:nsid w:val="676FCCEC"/>
    <w:multiLevelType w:val="hybridMultilevel"/>
    <w:tmpl w:val="E7CC04EC"/>
    <w:lvl w:ilvl="0" w:tplc="04090001">
      <w:start w:val="1"/>
      <w:numFmt w:val="bullet"/>
      <w:lvlText w:val=""/>
      <w:lvlJc w:val="left"/>
      <w:pPr>
        <w:ind w:left="36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72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108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144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288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3240" w:hanging="360"/>
      </w:pPr>
      <w:rPr>
        <w:rFonts w:ascii="Wingdings" w:hAnsi="Wingdings" w:hint="default"/>
      </w:rPr>
    </w:lvl>
  </w:abstractNum>
  <w:abstractNum w:abstractNumId="4">
    <w:nsid w:val="EDACB82B"/>
    <w:multiLevelType w:val="hybridMultilevel"/>
    <w:tmpl w:val="E7CC04EC"/>
    <w:lvl w:ilvl="0" w:tplc="04090001">
      <w:start w:val="1"/>
      <w:numFmt w:val="bullet"/>
      <w:lvlText w:val=""/>
      <w:lvlJc w:val="left"/>
      <w:pPr>
        <w:ind w:left="36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72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108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144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288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3240" w:hanging="360"/>
      </w:pPr>
      <w:rPr>
        <w:rFonts w:ascii="Wingdings" w:hAnsi="Wingdings" w:hint="default"/>
      </w:rPr>
    </w:lvl>
  </w:abstractNum>
  <w:abstractNum w:abstractNumId="5">
    <w:nsid w:val="BD1A7DC9"/>
    <w:multiLevelType w:val="hybridMultilevel"/>
    <w:tmpl w:val="E7CC04EC"/>
    <w:lvl w:ilvl="0" w:tplc="04090001">
      <w:start w:val="1"/>
      <w:numFmt w:val="bullet"/>
      <w:lvlText w:val=""/>
      <w:lvlJc w:val="left"/>
      <w:pPr>
        <w:ind w:left="36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72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108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144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288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3240" w:hanging="360"/>
      </w:pPr>
      <w:rPr>
        <w:rFonts w:ascii="Wingdings" w:hAnsi="Wingdings" w:hint="default"/>
      </w:rPr>
    </w:lvl>
  </w:abstractNum>
  <w:abstractNum w:abstractNumId="6">
    <w:nsid w:val="3850748C"/>
    <w:multiLevelType w:val="hybridMultilevel"/>
    <w:tmpl w:val="E7CC04EC"/>
    <w:lvl w:ilvl="0" w:tplc="04090001">
      <w:start w:val="1"/>
      <w:numFmt w:val="bullet"/>
      <w:lvlText w:val=""/>
      <w:lvlJc w:val="left"/>
      <w:pPr>
        <w:ind w:left="36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72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108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144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288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3240" w:hanging="360"/>
      </w:pPr>
      <w:rPr>
        <w:rFonts w:ascii="Wingdings" w:hAnsi="Wingdings" w:hint="default"/>
      </w:rPr>
    </w:lvl>
  </w:abstractNum>
  <w:num w:numId="1">
    <w:abstractNumId w:val="0"/>
    <w:lvlOverride w:ilvl="0">
      <w:startOverride w:val="1"/>
    </w:lvlOverride>
  </w:num>
  <w:num w:numId="2">
    <w:abstractNumId w:val="1"/>
    <w:lvlOverride w:ilvl="0">
      <w:startOverride w:val="1"/>
    </w:lvlOverride>
  </w:num>
  <w:num w:numId="3">
    <w:abstractNumId w:val="2"/>
    <w:lvlOverride w:ilvl="0">
      <w:startOverride w:val="1"/>
    </w:lvlOverride>
  </w:num>
  <w:num w:numId="4">
    <w:abstractNumId w:val="3"/>
    <w:lvlOverride w:ilvl="0">
      <w:startOverride w:val="1"/>
    </w:lvlOverride>
  </w:num>
  <w:num w:numId="5">
    <w:abstractNumId w:val="4"/>
    <w:lvlOverride w:ilvl="0">
      <w:startOverride w:val="1"/>
    </w:lvlOverride>
  </w:num>
  <w:num w:numId="6">
    <w:abstractNumId w:val="5"/>
    <w:lvlOverride w:ilvl="0">
      <w:startOverride w:val="1"/>
    </w:lvlOverride>
  </w:num>
  <w:num w:numId="7">
    <w:abstractNumId w:val="6"/>
    <w:lvlOverride w:ilvl="0">
      <w:startOverride w:val="1"/>
    </w:lvlOverride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defaultTabStop w:val="720"/>
  <w:characterSpacingControl w:val="doNotCompress"/>
  <w:compat/>
  <w:rsids>
    <w:rsidRoot w:val="00217F62"/>
    <w:rsid w:val="001915A3"/>
    <w:rsid w:val="00217F62"/>
    <w:rsid w:val="00A906D8"/>
    <w:rsid w:val="00AB5A74"/>
    <w:rsid w:val="00F071AE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displayBackgroundShape w:val="true"/>
  <w:themeFontLang w:val="en-GB" w:bidi="ar-SA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styleId="Heading1">
    <w:name w:val="heading 1"/>
    <w:basedOn w:val="Normal"/>
    <w:next w:val="Normal"/>
    <w:link w:val="Heading1Char"/>
    <w:uiPriority w:val="9"/>
    <w:qFormat/>
    <w:rsid w:val="00263428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263428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263428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unhideWhenUsed/>
    <w:qFormat/>
    <w:rsid w:val="00263428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unhideWhenUsed/>
    <w:qFormat/>
    <w:rsid w:val="00263428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unhideWhenUsed/>
    <w:qFormat/>
    <w:rsid w:val="00263428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unhideWhenUsed/>
    <w:qFormat/>
    <w:rsid w:val="00263428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unhideWhenUsed/>
    <w:qFormat/>
    <w:rsid w:val="00263428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04040" w:themeColor="text1" w:themeTint="BF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unhideWhenUsed/>
    <w:qFormat/>
    <w:rsid w:val="00263428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unhideWhenUsed/>
    <w:qFormat/>
    <w:rsid w:val="00D23DB3"/>
    <w:pPr>
      <w:spacing w:after="200" w:line="240" w:lineRule="auto"/>
    </w:pPr>
    <w:rPr>
      <w:i/>
      <w:iCs/>
      <w:color w:val="44546A" w:themeColor="text2"/>
      <w:sz w:val="18"/>
      <w:szCs w:val="18"/>
    </w:rPr>
  </w:style>
  <w:style w:type="character" w:customStyle="1" w:styleId="Heading2Char">
    <w:name w:val="Heading 2 Char"/>
    <w:basedOn w:val="DefaultParagraphFont"/>
    <w:link w:val="Heading2"/>
    <w:uiPriority w:val="9"/>
    <w:rsid w:val="00263428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263428"/>
    <w:rPr>
      <w:rFonts w:asciiTheme="majorHAnsi" w:eastAsiaTheme="majorEastAsia" w:hAnsiTheme="majorHAnsi" w:cstheme="majorBidi"/>
      <w:b/>
      <w:bCs/>
      <w:color w:val="4F81BD" w:themeColor="accent1"/>
    </w:rPr>
  </w:style>
  <w:style w:type="character" w:customStyle="1" w:styleId="Heading4Char">
    <w:name w:val="Heading 4 Char"/>
    <w:basedOn w:val="DefaultParagraphFont"/>
    <w:link w:val="Heading4"/>
    <w:uiPriority w:val="9"/>
    <w:rsid w:val="00263428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rsid w:val="00263428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rsid w:val="00263428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rsid w:val="00263428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rsid w:val="00263428"/>
    <w:rPr>
      <w:rFonts w:asciiTheme="majorHAnsi" w:eastAsiaTheme="majorEastAsia" w:hAnsiTheme="majorHAnsi" w:cstheme="majorBidi"/>
      <w:color w:val="404040" w:themeColor="text1" w:themeTint="BF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rsid w:val="00263428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default="1" w:styleId="Normal">
    <w:name w:val="Normal"/>
    <w:qFormat/>
    <w:rsid w:val="00B3465E"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qFormat/>
    <w:tblPr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styleId="FootnoteText" w:type="paragraph">
    <w:name w:val="footnote text"/>
    <w:basedOn w:val="Normal"/>
    <w:link w:val="FootnoteTextChar"/>
    <w:uiPriority w:val="99"/>
    <w:semiHidden/>
    <w:unhideWhenUsed/>
    <w:rsid w:val="00E541C0"/>
    <w:pPr>
      <w:spacing w:after="0" w:lineRule="auto" w:line="240"/>
    </w:pPr>
    <w:rPr>
      <w:sz w:val="20"/>
      <w:szCs w:val="20"/>
    </w:rPr>
  </w:style>
  <w:style w:styleId="FootnoteTextChar" w:type="character" w:customStyle="1">
    <w:name w:val="Footnote Text Char"/>
    <w:basedOn w:val="DefaultParagraphFont"/>
    <w:link w:val="FootnoteText"/>
    <w:uiPriority w:val="99"/>
    <w:semiHidden/>
    <w:rsid w:val="00E541C0"/>
    <w:rPr>
      <w:sz w:val="20"/>
      <w:szCs w:val="20"/>
    </w:rPr>
  </w:style>
  <w:style w:styleId="FootnoteReference" w:type="character">
    <w:name w:val="footnote reference"/>
    <w:basedOn w:val="DefaultParagraphFont"/>
    <w:uiPriority w:val="99"/>
    <w:semiHidden/>
    <w:unhideWhenUsed/>
    <w:rsid w:val="00E541C0"/>
    <w:rPr>
      <w:vertAlign w:val="superscript"/>
    </w:rPr>
  </w:style>
  <w:style w:type="paragraph" w:styleId="EndnoteText">
    <w:name w:val="endnote text"/>
    <w:basedOn w:val="Normal"/>
    <w:link w:val="EndnoteTextChar"/>
    <w:uiPriority w:val="99"/>
    <w:semiHidden/>
    <w:unhideWhenUsed/>
    <w:rsid w:val="0054139F"/>
    <w:pPr>
      <w:spacing w:after="0" w:line="240" w:lineRule="auto"/>
    </w:pPr>
    <w:rPr>
      <w:sz w:val="20"/>
      <w:szCs w:val="20"/>
    </w:rPr>
  </w:style>
  <w:style w:type="character" w:customStyle="1" w:styleId="EndnoteTextChar">
    <w:name w:val="Endnote Text Char"/>
    <w:basedOn w:val="DefaultParagraphFont"/>
    <w:link w:val="EndnoteText"/>
    <w:uiPriority w:val="99"/>
    <w:semiHidden/>
    <w:rsid w:val="0054139F"/>
    <w:rPr>
      <w:sz w:val="20"/>
      <w:szCs w:val="20"/>
    </w:rPr>
  </w:style>
  <w:style w:type="character" w:styleId="EndnoteReference">
    <w:name w:val="endnote reference"/>
    <w:basedOn w:val="DefaultParagraphFont"/>
    <w:uiPriority w:val="99"/>
    <w:semiHidden/>
    <w:unhideWhenUsed/>
    <w:rsid w:val="0054139F"/>
    <w:rPr>
      <w:vertAlign w:val="superscript"/>
    </w:rPr>
  </w:style>
  <w:style w:type="table" w:styleId="TableGrid">
    <w:name w:val="Table Grid"/>
    <w:basedOn w:val="TableNormal"/>
    <w:uiPriority w:val="59"/>
    <w:rsid w:val="008D0119"/>
    <w:pPr>
      <w:spacing w:after="0" w:line="240" w:lineRule="auto"/>
    </w:pPr>
    <w:tblPr>
      <w:tblInd w:w="0" w:type="dxa"/>
      <w:tblBorders>
        <w:top w:val="single" w:sz="4" w:space="0" w:color="000000" w:themeColor="text1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000000" w:themeColor="text1"/>
        <w:insideV w:val="single" w:sz="4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</w:style>
</w:styles>
</file>

<file path=word/_rels/document.xml.rels>&#65279;<?xml version="1.0" encoding="utf-8"?><Relationships xmlns="http://schemas.openxmlformats.org/package/2006/relationships"><Relationship Type="http://schemas.openxmlformats.org/officeDocument/2006/relationships/styles" Target="/word/styles.xml" Id="R6e950e89468144e7" /><Relationship Type="http://schemas.openxmlformats.org/officeDocument/2006/relationships/numbering" Target="/word/numbering.xml" Id="Rcc4eb31ea17a4315" /><Relationship Type="http://schemas.openxmlformats.org/officeDocument/2006/relationships/settings" Target="/word/settings.xml" Id="Rdb1f6656a1594a73" /><Relationship Type="http://schemas.openxmlformats.org/officeDocument/2006/relationships/image" Target="/word/media/487afd5a-f840-4593-99d1-8c5389aefd92.png" Id="Rd82ae8bf9c56487e" /></Relationships>
</file>