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Default Extension="png" ContentType="image/png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5f996935ccaa46c6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c="http://schemas.openxmlformats.org/drawingml/2006/chart">
  <w:body>
    <w:tbl>
      <w:tblPr>
        <w:tblStyle w:val="TableGrid"/>
        <w:tblW w:w="5000" w:type="auto"/>
        <w:tblLook w:val="04A0"/>
        <w:tblBorders>
          <w:left w:val="none" w:sz="2" w:space="0" w:color="FFFFFF"/>
          <w:right w:val="none" w:sz="2" w:space="0" w:color="FFFFFF"/>
          <w:top w:val="none" w:sz="2" w:space="0" w:color="FFFFFF"/>
          <w:bottom w:val="none" w:sz="2" w:space="0" w:color="FFFFFF"/>
          <w:insideH w:val="none" w:sz="2" w:space="0" w:color="FFFFFF"/>
          <w:insideV w:val="none" w:sz="2" w:space="0" w:color="FFFFFF"/>
        </w:tblBorders>
      </w:tblPr>
      <w:tblGrid>
        <w:gridCol w:w="4510"/>
        <w:gridCol w:w="4510"/>
      </w:tblGrid>
      <w:tr>
        <w:tc>
          <w:tcPr>
            <w:tcW w:w="10000" w:type="dxa"/>
          </w:tcPr>
          <w:p>
            <w:pPr/>
            <w:r>
              <w:rPr>
                <w:b/>
              </w:rPr>
              <w:t>LANEq208</w:t>
            </w:r>
            <w:r>
              <w:rPr>
                <w:b/>
              </w:rPr>
              <w:br/>
            </w:r>
            <w:r>
              <w:rPr>
                <w:b/>
              </w:rPr>
              <w:t>Asesu tir pori ar gyfer cyflwyno ceffylau</w:t>
            </w:r>
            <w:r>
              <w:rPr>
                <w:b/>
              </w:rPr>
              <w:br/>
            </w:r>
          </w:p>
        </w:tc>
        <w:tc>
          <w:tcPr>
            <w:tcW w:w="4000" w:type="dxa"/>
          </w:tcPr>
          <w:p>
            <w:pPr>
              <w:jc w:val="right"/>
            </w:pPr>
            <w:r xmlns:w="http://schemas.openxmlformats.org/wordprocessingml/2006/main">
              <w:drawing>
                <wp:inline xmlns:wp="http://schemas.openxmlformats.org/drawingml/2006/wordprocessingDrawing" distT="0" distB="0" distL="0" distR="0">
                  <wp:extent cx="1358900" cy="736600"/>
                  <wp:effectExtent l="0" t="0" r="0" b="0"/>
                  <wp:docPr id="1" name="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xmlns:r="http://schemas.openxmlformats.org/officeDocument/2006/relationships" r:embed="R2966fb8cd1d54df5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58900" cy="736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>
      <w:pPr/>
      <w:r>
        <w:rPr>
          <w:lang w:val="en-GB"/>
          <w:b/>
        </w:rPr>
        <w:t>Trosolwg</w:t>
      </w:r>
      <w:r>
        <w:rPr>
          <w:lang w:val="en-GB"/>
          <w:b/>
        </w:rPr>
        <w:br/>
      </w:r>
    </w:p>
    <w:p>
      <w:pPr/>
      <w:r>
        <w:rPr>
          <w:lang w:val="en-GB"/>
        </w:rPr>
        <w:t>​Mae'r safon hwn yn ymwneud ag asesu tir pori ar gyfer cyflwyno ceffylau.</w:t>
      </w:r>
    </w:p>
    <w:p>
      <w:pPr/>
      <w:r>
        <w:rPr>
          <w:lang w:val="en-GB"/>
        </w:rPr>
        <w:t>Mae hyn yn cynnwys adnabod a dileu peryglon, darparu cyflenwad addas o ddŵr a gwirio ffiniau ac ansawdd pori.</w:t>
      </w:r>
    </w:p>
    <w:p>
      <w:pPr/>
      <w:r>
        <w:rPr>
          <w:lang w:val="en-GB"/>
        </w:rPr>
        <w:t>Byddai'r gwaith a ddisgrifir yn y safon hon yn cael ei wneud yn dilyn cytundeb gyda goruchwylydd am gyfrifoldebau a dulliau gweithio.</w:t>
      </w:r>
    </w:p>
    <w:p>
      <w:pPr/>
      <w:r>
        <w:rPr>
          <w:lang w:val="en-GB"/>
        </w:rPr>
        <w:t>Bydd angen i chi fod yn gwbl ymwybodol o bwysigrwydd iechyd, diogelwch a lles anifeiliaid mewn cysylltiad â'r gweithgaredd hwn</w:t>
      </w:r>
    </w:p>
    <w:p>
      <w:pPr/>
      <w:r>
        <w:rPr>
          <w:lang w:val="en-GB"/>
        </w:rPr>
        <w:t>Bydd angen i chi allu adnabod peryglon yn y gweithle</w:t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Meini prawf perfformiad</w:t>
      </w:r>
      <w:r>
        <w:rPr>
          <w:lang w:val="en-GB"/>
          <w:b/>
        </w:rPr>
        <w:br/>
      </w:r>
    </w:p>
    <w:p>
      <w:pPr/>
      <w:r>
        <w:rPr>
          <w:lang w:val="en-GB"/>
        </w:rPr>
        <w:t>Rhaid i chi allu:</w:t>
      </w:r>
      <w:r>
        <w:rPr>
          <w:lang w:val="en-GB"/>
        </w:rPr>
        <w:br/>
      </w:r>
    </w:p>
    <w:p>
      <w:pPr>
        <w:numPr>
          <w:ilvl w:val="0"/>
          <w:numId w:val="1"/>
        </w:numPr>
      </w:pPr>
      <w:r>
        <w:t>​asesu maint ac ansawdd tir pori er mwyn sicrhau ei fod yn briodol ar gyfer cyflwyno ceffylau</w:t>
      </w:r>
    </w:p>
    <w:p>
      <w:pPr>
        <w:numPr>
          <w:ilvl w:val="0"/>
          <w:numId w:val="1"/>
        </w:numPr>
      </w:pPr>
      <w:r>
        <w:t>cadarnhau bod ffiniau'r tir pori yn ddiogel a, lle y bo'n briodol, hysbysu ynghylch unrhyw broblemau, yn cynnwys ar lafar ac yn ysgrifenedig</w:t>
      </w:r>
    </w:p>
    <w:p>
      <w:pPr>
        <w:numPr>
          <w:ilvl w:val="0"/>
          <w:numId w:val="1"/>
        </w:numPr>
      </w:pPr>
      <w:r>
        <w:t>cadarnhau bod gatiau'r tir pori yn ddiogel a hysbysu ynghylch unrhyw broblemau, yn cynnwys ar lafar neu'n ysgrifenedig</w:t>
      </w:r>
    </w:p>
    <w:p>
      <w:pPr>
        <w:numPr>
          <w:ilvl w:val="0"/>
          <w:numId w:val="1"/>
        </w:numPr>
      </w:pPr>
      <w:r>
        <w:t>sicrhau bod cyflenwad digonol o ddwr glân ar gael i'r ceffylau</w:t>
      </w:r>
    </w:p>
    <w:p>
      <w:pPr>
        <w:numPr>
          <w:ilvl w:val="0"/>
          <w:numId w:val="1"/>
        </w:numPr>
      </w:pPr>
      <w:r>
        <w:t>cyfathrebu gydag eraill a chynnal gwaith tîm effeithiol</w:t>
      </w:r>
    </w:p>
    <w:p>
      <w:pPr>
        <w:numPr>
          <w:ilvl w:val="0"/>
          <w:numId w:val="1"/>
        </w:numPr>
      </w:pPr>
      <w:r>
        <w:t>adnabod a hysbysu ynghylch peryglon neu adrodd i'r person priodol yn eu cylch</w:t>
      </w:r>
    </w:p>
    <w:p>
      <w:pPr>
        <w:numPr>
          <w:ilvl w:val="0"/>
          <w:numId w:val="1"/>
        </w:numPr>
      </w:pPr>
      <w:r>
        <w:t>cynnal eich iechyd a'ch diogelwch chi ac eraill, a lles y ceffyl, yn ystod y gweithgaredd</w:t>
      </w:r>
    </w:p>
    <w:p>
      <w:pPr/>
      <w:r>
        <w:rPr>
          <w:lang w:val="en-GB"/>
        </w:rPr>
        <w:br/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Gwybodaeth a dealltwriaeth</w:t>
      </w:r>
      <w:r>
        <w:rPr>
          <w:lang w:val="en-GB"/>
          <w:b/>
        </w:rPr>
        <w:br/>
      </w:r>
    </w:p>
    <w:p>
      <w:pPr/>
      <w:r>
        <w:rPr>
          <w:lang w:val="en-GB"/>
        </w:rPr>
        <w:t>Mae angen i chi wybod a deall:</w:t>
      </w:r>
      <w:r>
        <w:rPr>
          <w:lang w:val="en-GB"/>
        </w:rPr>
        <w:br/>
      </w:r>
    </w:p>
    <w:p>
      <w:pPr>
        <w:numPr>
          <w:ilvl w:val="0"/>
          <w:numId w:val="2"/>
        </w:numPr>
      </w:pPr>
      <w:r>
        <w:t>​cyflwr ac ansawdd y glaswellt a nifer y ceffylau y gellir eu cadw arno</w:t>
      </w:r>
    </w:p>
    <w:p>
      <w:pPr>
        <w:numPr>
          <w:ilvl w:val="0"/>
          <w:numId w:val="2"/>
        </w:numPr>
      </w:pPr>
      <w:r>
        <w:t>y mathau gwahanol o ddarparu dwr ar gyfer ceffylau</w:t>
      </w:r>
    </w:p>
    <w:p>
      <w:pPr>
        <w:numPr>
          <w:ilvl w:val="0"/>
          <w:numId w:val="2"/>
        </w:numPr>
      </w:pPr>
      <w:r>
        <w:t>pwysigrwydd pori glân wrth atal heintiau parasitig</w:t>
      </w:r>
    </w:p>
    <w:p>
      <w:pPr>
        <w:numPr>
          <w:ilvl w:val="0"/>
          <w:numId w:val="2"/>
        </w:numPr>
      </w:pPr>
      <w:r>
        <w:t>y mathau cyffredin o blanhigion a chwyn sydd yn wenwynig i geffylau a sut i'w hadnabod</w:t>
      </w:r>
    </w:p>
    <w:p>
      <w:pPr>
        <w:numPr>
          <w:ilvl w:val="0"/>
          <w:numId w:val="2"/>
        </w:numPr>
      </w:pPr>
      <w:r>
        <w:t>addasrwydd cyflenwad dwr y ceffylau</w:t>
      </w:r>
    </w:p>
    <w:p>
      <w:pPr>
        <w:numPr>
          <w:ilvl w:val="0"/>
          <w:numId w:val="2"/>
        </w:numPr>
      </w:pPr>
      <w:r>
        <w:t>addasrwydd mathau gwahanol o ffensys neu ffiniau ar gyfer ceffylau</w:t>
      </w:r>
    </w:p>
    <w:p>
      <w:pPr>
        <w:numPr>
          <w:ilvl w:val="0"/>
          <w:numId w:val="2"/>
        </w:numPr>
      </w:pPr>
      <w:r>
        <w:t>lleoliad delfrydol gât a mesurau priodol ar gyfer sicrhau gatiau</w:t>
      </w:r>
    </w:p>
    <w:p>
      <w:pPr>
        <w:numPr>
          <w:ilvl w:val="0"/>
          <w:numId w:val="2"/>
        </w:numPr>
      </w:pPr>
      <w:r>
        <w:t>peryglon i geffylau, i chi eich hun ac i eraill a sut y gellir lleihau'r peryglon hyn</w:t>
      </w:r>
    </w:p>
    <w:p>
      <w:pPr>
        <w:numPr>
          <w:ilvl w:val="0"/>
          <w:numId w:val="2"/>
        </w:numPr>
      </w:pPr>
      <w:r>
        <w:t>eich cyfrifoldebau yn unol â deddfwriaeth a chodau ymarfer iechyd a lles anifeiliaid ac iechyd a diogelwch perthnasol</w:t>
      </w:r>
    </w:p>
    <w:p>
      <w:pPr/>
      <w:r>
        <w:rPr>
          <w:lang w:val="en-GB"/>
        </w:rPr>
        <w:br/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Geirfa</w:t>
      </w:r>
      <w:r>
        <w:rPr>
          <w:lang w:val="en-GB"/>
          <w:b/>
        </w:rPr>
        <w:br/>
      </w:r>
    </w:p>
    <w:p>
      <w:pPr/>
      <w:r>
        <w:rPr>
          <w:lang w:val="en-GB"/>
        </w:rPr>
        <w:t>​Mae'r ffiniau'n cynnwys:</w:t>
      </w:r>
    </w:p>
    <w:p>
      <w:pPr>
        <w:numPr>
          <w:ilvl w:val="0"/>
          <w:numId w:val="3"/>
        </w:numPr>
      </w:pPr>
      <w:r>
        <w:t>muriau</w:t>
      </w:r>
    </w:p>
    <w:p>
      <w:pPr>
        <w:numPr>
          <w:ilvl w:val="0"/>
          <w:numId w:val="3"/>
        </w:numPr>
      </w:pPr>
      <w:r>
        <w:t>ffensys</w:t>
      </w:r>
    </w:p>
    <w:p>
      <w:pPr>
        <w:numPr>
          <w:ilvl w:val="0"/>
          <w:numId w:val="3"/>
        </w:numPr>
      </w:pPr>
      <w:r>
        <w:t>ffosydd</w:t>
      </w:r>
    </w:p>
    <w:p>
      <w:pPr>
        <w:numPr>
          <w:ilvl w:val="0"/>
          <w:numId w:val="3"/>
        </w:numPr>
      </w:pPr>
      <w:r>
        <w:t>gwrychoedd</w:t>
      </w:r>
    </w:p>
    <w:p>
      <w:pPr/>
      <w:r>
        <w:rPr>
          <w:lang w:val="en-GB"/>
        </w:rPr>
        <w:br/>
      </w:r>
    </w:p>
    <w:p>
      <w:pPr/>
      <w:r>
        <w:rPr>
          <w:lang w:val="en-GB"/>
          <w:b/>
        </w:rPr>
        <w:t>Datblygwyd gan</w:t>
      </w:r>
    </w:p>
    <w:p>
      <w:pPr/>
      <w:r>
        <w:rPr>
          <w:lang w:val="en-GB"/>
        </w:rPr>
        <w:t>Lantra</w:t>
      </w:r>
      <w:r>
        <w:rPr>
          <w:lang w:val="en-GB"/>
        </w:rPr>
        <w:br/>
      </w:r>
    </w:p>
    <w:p>
      <w:pPr/>
      <w:r>
        <w:rPr>
          <w:lang w:val="en-GB"/>
          <w:b/>
        </w:rPr>
        <w:t>Dyddiad cymeradwyo</w:t>
      </w:r>
    </w:p>
    <w:p>
      <w:pPr/>
      <w:r>
        <w:rPr>
          <w:lang w:val="en-GB"/>
        </w:rPr>
        <w:t>31 Ion 2017</w:t>
      </w:r>
      <w:r>
        <w:rPr>
          <w:lang w:val="en-GB"/>
        </w:rPr>
        <w:br/>
      </w:r>
    </w:p>
    <w:p>
      <w:pPr/>
      <w:r>
        <w:rPr>
          <w:lang w:val="en-GB"/>
          <w:b/>
        </w:rPr>
        <w:t>Dyddiad Adolygu Dangosol</w:t>
      </w:r>
    </w:p>
    <w:p>
      <w:pPr/>
      <w:r>
        <w:rPr>
          <w:lang w:val="en-GB"/>
        </w:rPr>
        <w:t>31 Ion 2021</w:t>
      </w:r>
      <w:r>
        <w:rPr>
          <w:lang w:val="en-GB"/>
        </w:rPr>
        <w:br/>
      </w:r>
    </w:p>
    <w:p>
      <w:pPr/>
      <w:r>
        <w:rPr>
          <w:lang w:val="en-GB"/>
          <w:b/>
        </w:rPr>
        <w:t>Dilysrwydd</w:t>
      </w:r>
    </w:p>
    <w:p>
      <w:pPr/>
      <w:r>
        <w:rPr>
          <w:lang w:val="en-GB"/>
        </w:rPr>
        <w:t>Ar hyn o bryd</w:t>
      </w:r>
      <w:r>
        <w:rPr>
          <w:lang w:val="en-GB"/>
        </w:rPr>
        <w:br/>
      </w:r>
    </w:p>
    <w:p>
      <w:pPr/>
      <w:r>
        <w:rPr>
          <w:lang w:val="en-GB"/>
          <w:b/>
        </w:rPr>
        <w:t>Statws</w:t>
      </w:r>
    </w:p>
    <w:p>
      <w:pPr/>
      <w:r>
        <w:rPr>
          <w:lang w:val="en-GB"/>
        </w:rPr>
        <w:t>Gwreiddiol</w:t>
      </w:r>
      <w:r>
        <w:rPr>
          <w:lang w:val="en-GB"/>
        </w:rPr>
        <w:br/>
      </w:r>
    </w:p>
    <w:p>
      <w:pPr/>
      <w:r>
        <w:rPr>
          <w:lang w:val="en-GB"/>
          <w:b/>
        </w:rPr>
        <w:t>Sefydliad cychwynnol</w:t>
      </w:r>
    </w:p>
    <w:p>
      <w:pPr/>
      <w:r>
        <w:rPr>
          <w:lang w:val="en-GB"/>
        </w:rPr>
        <w:t>Lantra</w:t>
      </w:r>
      <w:r>
        <w:rPr>
          <w:lang w:val="en-GB"/>
        </w:rPr>
        <w:br/>
      </w:r>
    </w:p>
    <w:p>
      <w:pPr/>
      <w:r>
        <w:rPr>
          <w:lang w:val="en-GB"/>
          <w:b/>
        </w:rPr>
        <w:t>RCU gwreiddiol</w:t>
      </w:r>
    </w:p>
    <w:p>
      <w:pPr/>
      <w:r>
        <w:rPr>
          <w:lang w:val="en-GB"/>
        </w:rPr>
        <w:t>LANEq208</w:t>
      </w:r>
      <w:r>
        <w:rPr>
          <w:lang w:val="en-GB"/>
        </w:rPr>
        <w:br/>
      </w:r>
    </w:p>
    <w:p>
      <w:pPr/>
      <w:r>
        <w:rPr>
          <w:lang w:val="en-GB"/>
          <w:b/>
        </w:rPr>
        <w:t>Galwedigaethau perthnasol</w:t>
      </w:r>
    </w:p>
    <w:p>
      <w:pPr/>
      <w:r>
        <w:rPr>
          <w:lang w:val="en-GB"/>
        </w:rPr>
        <w:t>Cynorthwyydd Ceffylau</w:t>
      </w:r>
      <w:r>
        <w:rPr>
          <w:lang w:val="en-GB"/>
        </w:rPr>
        <w:br/>
      </w:r>
    </w:p>
    <w:p>
      <w:pPr/>
      <w:r>
        <w:rPr>
          <w:lang w:val="en-GB"/>
          <w:b/>
        </w:rPr>
        <w:t>Cyfres/Set</w:t>
      </w:r>
    </w:p>
    <w:p>
      <w:pPr/>
      <w:r>
        <w:rPr>
          <w:lang w:val="en-GB"/>
        </w:rPr>
        <w:t>Ceffylau</w:t>
      </w:r>
      <w:r>
        <w:rPr>
          <w:lang w:val="en-GB"/>
        </w:rPr>
        <w:br/>
      </w:r>
    </w:p>
    <w:p>
      <w:pPr/>
      <w:r>
        <w:rPr>
          <w:lang w:val="en-GB"/>
          <w:b/>
        </w:rPr>
        <w:t>Geiriau Allweddol</w:t>
      </w:r>
    </w:p>
    <w:p>
      <w:pPr/>
      <w:r>
        <w:rPr>
          <w:lang w:val="en-GB"/>
        </w:rPr>
        <w:t>ceffyl; ceffylau; pori; cae; tir; ffiniau; iechyd a lles anifeiliaid</w:t>
      </w:r>
      <w:r>
        <w:rPr>
          <w:lang w:val="en-GB"/>
        </w:rPr>
        <w:br/>
      </w:r>
    </w:p>
    <w:sectPr w:rsidR="003E25F4" w:rsidSect="00FC302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DE25B81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abstractNum w:abstractNumId="1">
    <w:nsid w:val="9991543B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abstractNum w:abstractNumId="2">
    <w:nsid w:val="72277C4C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num w:numId="1">
    <w:abstractNumId w:val="0"/>
    <w:lvlOverride w:ilvl="0">
      <w:startOverride w:val="1"/>
    </w:lvlOverride>
  </w:num>
  <w:num w:numId="2">
    <w:abstractNumId w:val="1"/>
    <w:lvlOverride w:ilvl="0">
      <w:startOverride w:val="1"/>
    </w:lvlOverride>
  </w:num>
  <w:num w:numId="3">
    <w:abstractNumId w:val="2"/>
    <w:lvlOverride w:ilvl="0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compat/>
  <w:rsids>
    <w:rsidRoot w:val="00217F62"/>
    <w:rsid w:val="001915A3"/>
    <w:rsid w:val="00217F62"/>
    <w:rsid w:val="00A906D8"/>
    <w:rsid w:val="00AB5A74"/>
    <w:rsid w:val="00F071A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displayBackgroundShape w:val="true"/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Heading1">
    <w:name w:val="heading 1"/>
    <w:basedOn w:val="Normal"/>
    <w:next w:val="Normal"/>
    <w:link w:val="Heading1Char"/>
    <w:uiPriority w:val="9"/>
    <w:qFormat/>
    <w:rsid w:val="00263428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263428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263428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263428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263428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263428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rsid w:val="00263428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rsid w:val="00263428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rsid w:val="00263428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unhideWhenUsed/>
    <w:qFormat/>
    <w:rsid w:val="00D23DB3"/>
    <w:pPr>
      <w:spacing w:after="200" w:line="240" w:lineRule="auto"/>
    </w:pPr>
    <w:rPr>
      <w:i/>
      <w:iCs/>
      <w:color w:val="44546A" w:themeColor="text2"/>
      <w:sz w:val="18"/>
      <w:szCs w:val="18"/>
    </w:rPr>
  </w:style>
  <w:style w:type="character" w:customStyle="1" w:styleId="Heading2Char">
    <w:name w:val="Heading 2 Char"/>
    <w:basedOn w:val="DefaultParagraphFont"/>
    <w:link w:val="Heading2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Heading4Char">
    <w:name w:val="Heading 4 Char"/>
    <w:basedOn w:val="DefaultParagraphFont"/>
    <w:link w:val="Heading4"/>
    <w:uiPriority w:val="9"/>
    <w:rsid w:val="00263428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rsid w:val="00263428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rsid w:val="00263428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rsid w:val="00263428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default="1" w:styleId="Normal">
    <w:name w:val="Normal"/>
    <w:qFormat/>
    <w:rsid w:val="00B3465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styleId="FootnoteText" w:type="paragraph">
    <w:name w:val="footnote text"/>
    <w:basedOn w:val="Normal"/>
    <w:link w:val="FootnoteTextChar"/>
    <w:uiPriority w:val="99"/>
    <w:semiHidden/>
    <w:unhideWhenUsed/>
    <w:rsid w:val="00E541C0"/>
    <w:pPr>
      <w:spacing w:after="0" w:lineRule="auto" w:line="240"/>
    </w:pPr>
    <w:rPr>
      <w:sz w:val="20"/>
      <w:szCs w:val="20"/>
    </w:rPr>
  </w:style>
  <w:style w:styleId="FootnoteTextChar" w:type="character" w:customStyle="1">
    <w:name w:val="Footnote Text Char"/>
    <w:basedOn w:val="DefaultParagraphFont"/>
    <w:link w:val="FootnoteText"/>
    <w:uiPriority w:val="99"/>
    <w:semiHidden/>
    <w:rsid w:val="00E541C0"/>
    <w:rPr>
      <w:sz w:val="20"/>
      <w:szCs w:val="20"/>
    </w:rPr>
  </w:style>
  <w:style w:styleId="FootnoteReference" w:type="character">
    <w:name w:val="footnote reference"/>
    <w:basedOn w:val="DefaultParagraphFont"/>
    <w:uiPriority w:val="99"/>
    <w:semiHidden/>
    <w:unhideWhenUsed/>
    <w:rsid w:val="00E541C0"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54139F"/>
    <w:pPr>
      <w:spacing w:after="0" w:line="240" w:lineRule="auto"/>
    </w:pPr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54139F"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sid w:val="0054139F"/>
    <w:rPr>
      <w:vertAlign w:val="superscript"/>
    </w:rPr>
  </w:style>
  <w:style w:type="table" w:styleId="TableGrid">
    <w:name w:val="Table Grid"/>
    <w:basedOn w:val="TableNormal"/>
    <w:uiPriority w:val="59"/>
    <w:rsid w:val="008D011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Type="http://schemas.openxmlformats.org/officeDocument/2006/relationships/styles" Target="/word/styles.xml" Id="R64928803b66943f3" /><Relationship Type="http://schemas.openxmlformats.org/officeDocument/2006/relationships/numbering" Target="/word/numbering.xml" Id="Re9971eb2ea894e60" /><Relationship Type="http://schemas.openxmlformats.org/officeDocument/2006/relationships/settings" Target="/word/settings.xml" Id="Rc1a5ab0fd4ea4510" /><Relationship Type="http://schemas.openxmlformats.org/officeDocument/2006/relationships/image" Target="/word/media/4c6f2ad6-49ca-443b-ba0d-3c00a68ad977.png" Id="R2966fb8cd1d54df5" /></Relationships>
</file>