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944656a08e4af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SKANSC10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Cyflawni pigiadau mewngroenol o docsin botwliniwm math A er mwyn trin chwysu gormodol cosmetig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eaa45c19e9a4b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Mae'r safon yma yn cydfodoli â, </w:t>
      </w:r>
    </w:p>
    <w:p>
      <w:pPr/>
      <w:r>
        <w:rPr>
          <w:lang w:val="en-GB"/>
        </w:rPr>
        <w:t>SKANSC1.2: Gweithredu a chynnal arferion gwaith diogel, glanwaith ac effeithiol yn ystod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gweithdrefnau cosmetig dewisol nad ydynt yn llawfeddygol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.</w:t>
      </w:r>
    </w:p>
    <w:p>
      <w:pPr/>
      <w:r>
        <w:rPr>
          <w:lang w:val="en-GB"/>
        </w:rPr>
        <w:t xml:space="preserve">* a </w:t>
      </w:r>
    </w:p>
    <w:p>
      <w:pPr/>
      <w:r>
        <w:rPr>
          <w:lang w:val="en-GB"/>
        </w:rPr>
        <w:t>SKANSC2.2: Ymgynghori, asesu, cynllunio a pharatoi ar gyfer gweithdrefnau cosmetig dewisol nad ydynt yn llawfeddygol o fewn yr amgylchedd waith</w:t>
      </w:r>
    </w:p>
    <w:p>
      <w:pPr/>
      <w:r>
        <w:rPr>
          <w:lang w:val="en-GB"/>
        </w:rPr>
        <w:t>, yn dilyn ymgynghoriad a gwerthusiad gyda rhagnodwr annibynnol sy'n cael ei reoleiddio. Y mae'r safon yma ar gyfer ymarferwyr esthetig sy'n cyflawni pigiadau mewngroenol o docsin botwliniwm math A er mwyn trin chwysu gormodol cosmetig. Y mae'r botwliniwm math A yn rhwystro asetylcolin, niwrodrawsyrrydd o'r system nerfol paraymatebol rhag cael ei ryddhau, gan rwystro gorsymbyliad o'r chwarennau chwys ecrin sy'n arwain at chwysu gormodol. Caiff y tocsin botwliniwm ei gyflawni fel cwrs o weithrediadau wrth i'r nerfau atgynhyrchu dros amser. Bydd gofyn i chi wneud gwerthusiad ac adfyfyrio wedi'r driniaeth er mwyn gwlliant parhaus. Rhaid i'r ymarferydd esthetig gael cymhwyster Cymorth Cyntaf yn y Gweithle neu ei gyffelyb a gallu cyflawni'r swyddogaethau o fewn SFHCHS36: Cefnogaeth bywyd sylfaenol a gallu cael gafael ar gyfarpar cefnogi bywyd fel sydd wedi ei nodi yn y cynllun rheoli cymhlethdodau.  Bydd rhaid i ddefnyddwyr y safon yma wneud yn siwr bod eu harferion yn adlewyrchu'r wybodaeth, y polisïau, y gweithdrefnau a'r cyfarwyddyd am yr arfer orau</w:t>
      </w:r>
    </w:p>
    <w:p>
      <w:pPr/>
      <w:r>
        <w:rPr>
          <w:lang w:val="en-GB"/>
        </w:rPr>
        <w:t>Y prif ddeilliannau yw:</w:t>
      </w:r>
    </w:p>
    <w:p>
      <w:pPr>
        <w:numPr>
          <w:ilvl w:val="0"/>
          <w:numId w:val="1"/>
        </w:numPr>
      </w:pPr>
      <w:r>
        <w:t>Lleihau chwysu cosmetig gormodol</w:t>
      </w:r>
    </w:p>
    <w:p>
      <w:pPr>
        <w:numPr>
          <w:ilvl w:val="0"/>
          <w:numId w:val="1"/>
        </w:numPr>
      </w:pPr>
      <w:r>
        <w:t>Trin hyperhidrosis ceseiliol canolog cynradd sydd wedi ei ddiagnosio.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 canfod a thrafod canlyniadau a dogfennau'r unigolyn ar gyfer y driniaeth tocsin botwliniwm math A gan y rhagnodwr annibynnol sy'n cael ei reoleiddio i gynnwys:</w:t>
      </w:r>
    </w:p>
    <w:p>
      <w:pPr/>
      <w:r>
        <w:rPr>
          <w:lang w:val="en-GB"/>
        </w:rPr>
        <w:t>1.1 cynllun triniaeth yr unigolyn i gynnwys y manna i gael eu trin</w:t>
      </w:r>
    </w:p>
    <w:p>
      <w:pPr/>
      <w:r>
        <w:rPr>
          <w:lang w:val="en-GB"/>
        </w:rPr>
        <w:t>1.2 cyngor, cefnogaeth a chyfarwyddyd</w:t>
      </w:r>
    </w:p>
    <w:p>
      <w:pPr/>
      <w:r>
        <w:rPr>
          <w:lang w:val="en-GB"/>
        </w:rPr>
        <w:t>1.3 cynllun argyfwng</w:t>
      </w:r>
    </w:p>
    <w:p>
      <w:pPr/>
      <w:r>
        <w:rPr>
          <w:lang w:val="en-GB"/>
        </w:rPr>
        <w:t>1.4 polisi rheoli moddion</w:t>
      </w:r>
    </w:p>
    <w:p>
      <w:pPr/>
      <w:r>
        <w:rPr>
          <w:lang w:val="en-GB"/>
        </w:rPr>
        <w:t>1.5 strategaeth rheoli poen</w:t>
      </w:r>
    </w:p>
    <w:p>
      <w:pPr/>
      <w:r>
        <w:rPr>
          <w:lang w:val="en-GB"/>
        </w:rPr>
        <w:t xml:space="preserve">2. cytuno ar a chael y prescripsiwn ar gyfer y tocsin botwliniwm math A gan ragnodwr annibynnol sy'n cael ei, yn unol â'r </w:t>
      </w:r>
    </w:p>
    <w:p>
      <w:pPr/>
      <w:r>
        <w:rPr>
          <w:lang w:val="en-GB"/>
        </w:rPr>
        <w:t>protocol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tocsin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botwliniwm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</w:t>
      </w:r>
    </w:p>
    <w:p>
      <w:pPr/>
      <w:r>
        <w:rPr>
          <w:lang w:val="en-GB"/>
        </w:rPr>
        <w:t>, gofynion deddfwriaethol rheoleiddiol, polisïau cyfundrefnol a gweithdrefnau</w:t>
      </w:r>
    </w:p>
    <w:p>
      <w:pPr>
        <w:numPr>
          <w:ilvl w:val="0"/>
          <w:numId w:val="2"/>
        </w:numPr>
      </w:pPr>
      <w:r>
        <w:t>cynnal ymgynghoriad cryno a chynhwysfawr gyda'r unigolyn a chadw at eich cyfrifoldebau am iechyd a diogelwch cyn, yn ystod ac ar ôl y driniaeth tocsin botwliniwm math 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 trafod amcanion, pryderon, disgwyliadau yr unigolyn a'r canlyniadau y mae'n ei ddymuno er mwyn hysbysu'r cynllun triniaeth tocsin botwliniwm math A i gynnwys   :</w:t>
      </w:r>
    </w:p>
    <w:p>
      <w:pPr/>
      <w:r>
        <w:rPr>
          <w:lang w:val="en-GB"/>
        </w:rPr>
        <w:t>4.1 dewisiadau amgen ar gyfer triniaeth</w:t>
      </w:r>
    </w:p>
    <w:p>
      <w:pPr>
        <w:numPr>
          <w:ilvl w:val="0"/>
          <w:numId w:val="3"/>
        </w:numPr>
      </w:pPr>
      <w:r>
        <w:t>penderfynu ar y cynllun triniaeth tocsin botwliniwm math A yn unol â'r gofynion deddfwriaethol a pholisïau a gweithdrefnau cyfundrefnol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 ailadrodd, cadarnhau a chytuno gyda’r unigolyn, ei fod wedi deall y driniaeth tocsin botwliniwm math A a rheoli poen arfaethedig, i gynnwys:</w:t>
      </w:r>
    </w:p>
    <w:p>
      <w:pPr/>
      <w:r>
        <w:rPr>
          <w:lang w:val="en-GB"/>
        </w:rPr>
        <w:t xml:space="preserve">6.1 </w:t>
      </w:r>
    </w:p>
    <w:p>
      <w:pPr/>
      <w:r>
        <w:rPr>
          <w:lang w:val="en-GB"/>
        </w:rPr>
        <w:t>gwrth-weithredoedd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*6.2 adweithiau niewidiol</w:t>
      </w:r>
    </w:p>
    <w:p>
      <w:pPr/>
      <w:r>
        <w:rPr>
          <w:lang w:val="en-GB"/>
        </w:rPr>
        <w:t>7. sicrhau a chofnodi cydsyniad gwybodus yr unigolyn ar gyfer y  tocsin botwliniwm  math A, gan ganiatau amserlen ddigonol I’r unigolyn wneud dewis gwybodus</w:t>
      </w:r>
    </w:p>
    <w:p>
      <w:pPr/>
      <w:r>
        <w:rPr>
          <w:lang w:val="en-GB"/>
        </w:rPr>
        <w:t>8. adolygu’r cydsyniad gwybodus ar gyfer y driniaeth tocsin botwliniwm  math A a rheoli poen </w:t>
      </w:r>
    </w:p>
    <w:p>
      <w:pPr>
        <w:numPr>
          <w:ilvl w:val="0"/>
          <w:numId w:val="4"/>
        </w:numPr>
      </w:pPr>
      <w:r>
        <w:t>casglu cydsyniad wedi ei hysbysu'r unigolyn, a presgripsiwn wedi ei gwblhau gan fferyllydd,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9.1 cyfarwyddyd sy'n benodol i'r claf</w:t>
      </w:r>
    </w:p>
    <w:p>
      <w:pPr/>
      <w:r>
        <w:rPr>
          <w:lang w:val="en-GB"/>
        </w:rPr>
        <w:t>9.2 toddiannau ail gyfuniad halwynog</w:t>
      </w:r>
    </w:p>
    <w:p>
      <w:pPr/>
      <w:r>
        <w:rPr>
          <w:lang w:val="en-GB"/>
        </w:rPr>
        <w:t>9.3 cyfarwyddiadau ynglŷn â chadw</w:t>
      </w:r>
    </w:p>
    <w:p>
      <w:pPr/>
      <w:r>
        <w:rPr>
          <w:lang w:val="en-GB"/>
        </w:rPr>
        <w:t>9.4 protocol ar gyfer cael gwared o wastraff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dewis cynnyrch paratoi glendid effeithiol er mwyn cwrdd ag anghenion yr unigolyn yn unol â chyfarwyddiadau'r gwneuthurwr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paratoi man triniaeth yr unigolyn yn unol â'r protocol triniaeth tocsin  botwliniwm math A a'r strategaethau cysylltiedig ar gyfer osgoi risg, i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 gwneud marciau cyn triniaeth er mwyn nodi’r man hyperhidrotig ar gyfer pob cesail, yn dibynnu ar y man lle mae blew’n tyfu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11.2 sicrhau bod yna ddigon o le rhwng y marciau a'u bod wedi eu dosbarthu yn gyfartal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12. paratoi chwistrell a nodwydd a gaiff eu defnyddio unwaith, yn unol â phrotocol y driniaeth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13.chwistrellu a dodi'r toddiant tocsin botwliniwm math A drwy'r croen gyda nodwydd ddiheintiedig a gaiff ei defnyddio unwaith, yn unol â phrotocol triniaeth y tocsin botwliniwm math A, i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13.1 addasu technegau chwistrellu, ongl a dyfnder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13.2 yn unol â'r marciau cyn y driniaeth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 13.3 mewn un symudiad esmwyth a rhyddhau graddol er mwyn lleihau trawma i'r rhan briodol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monitro iechyd, lles ac adwaith croen yr unigolyn drwy gydol y driniaeth tocsin botwliniwm math A, yn unol â gofynion deddfwriaethol a pholisïau a gweithdrefnau cyfundrefnol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15. os oes yna adwaith neu ddigwyddiad niweidiol, fod yr ymarferydd esthetig yn cymryd camau i'w gywiro ar fyrder, fel sydd wedi ei amlinellu o fewn y cynllun argyfwng i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 ceisio a gweithredu ymyrraeth feddygol ar unwaith gan yr unigolyn proffesiynol ym maes iechyd sydd wedi ei nodi a'i hyfforddi i ddelio gyda chymhlethdodau fel sydd wedi eu hamlinellu o fewn y cynllun argyfwng pan fod angen meddyginiaeth na ellir ei gael ond ar bresgripsiwn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16.cwblhau'r driniaeth yn unol â phrotocol triniaeth y tocsin botwliniwm math A, gofynion deddfwriaethol a pholisïau a gweithdrefnau cyfundrefnol, i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16.1 cael gwared o unrhyw farciau cyn triniaeth, os yn briodol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cymryd a chadw cyfryngau gweledol cydsyniol o fan triniaeth yr unigolyn yn unol â gofynion yswiriant, polisïau a gweithdrefnau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18. cwblhau a chadw cofnodion triniaeth gosemtic yr unigolyn heb fod yn llawfeddygol yn unol â deddfwriaeth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19. defnyddio arfer adfyfryiol i werthuso’r driniaeth tocsin  botwliniwm math A a gweithredu’n briodol </w:t>
      </w:r>
    </w:p>
    <w:p>
      <w:pPr/>
      <w:r>
        <w:rPr>
          <w:lang w:val="en-GB"/>
        </w:rPr>
        <w:t>20. rhoi cyfarwyddiadau a chyngor i’r unigolyn cyn ac ar ôl y driniaeth, i gynnwys:</w:t>
      </w:r>
    </w:p>
    <w:p>
      <w:pPr/>
      <w:r>
        <w:rPr>
          <w:lang w:val="en-GB"/>
        </w:rPr>
        <w:t>20.1 manylion cyswllt y rhagnodwyr sy'n cael eu rheoleiddio</w:t>
      </w:r>
    </w:p>
    <w:p>
      <w:pPr/>
      <w:r>
        <w:rPr>
          <w:lang w:val="en-GB"/>
        </w:rPr>
        <w:t>20.2 cynllun argyfwng</w:t>
      </w:r>
    </w:p>
    <w:p>
      <w:pPr/>
      <w:r>
        <w:rPr>
          <w:lang w:val="en-GB"/>
        </w:rPr>
        <w:t>20.3 cynllun wrth gefn os bydd rhywun yn absennol</w:t>
      </w:r>
    </w:p>
    <w:p>
      <w:pPr/>
      <w:r>
        <w:rPr>
          <w:lang w:val="en-GB"/>
        </w:rPr>
        <w:t>21. trafod, gwerthuso a chofnodi’r canlyniadau gyda’r rhagnodwr annibynnol sy’n cael ei reoleiddio a chytuno ar weithredu pellach a thriniaethau a wneir yn y dyfodol</w:t>
      </w:r>
    </w:p>
    <w:p>
      <w:pPr/>
      <w:r>
        <w:rPr>
          <w:lang w:val="en-GB"/>
        </w:rPr>
        <w:t>22. trafod y canlyniadau a chytuno ar driniaethau yn y dyfodol gyda'r unigolyn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 pwysigrwydd cydweithio gyda phobl broffesiynol gymwys er mwyn cefnogi arferion gwaith effeithiol a diogel</w:t>
      </w:r>
    </w:p>
    <w:p>
      <w:pPr>
        <w:numPr>
          <w:ilvl w:val="0"/>
          <w:numId w:val="5"/>
        </w:numPr>
      </w:pPr>
      <w:r>
        <w:t>swyddogaethau a chyfrifoldebau'r rhagnodwr annibynnol sy'n cael ei reoleiddio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 pam ei bod yn rhaid i chi gydymffurfio ag arferiol moesegol a gweithio o fewn gofynion deddfwriaethol</w:t>
      </w:r>
    </w:p>
    <w:p>
      <w:pPr/>
      <w:r>
        <w:rPr>
          <w:lang w:val="en-GB"/>
        </w:rPr>
        <w:t>4. pwysigrwydd ymwneud â, a chofnodi datblygiad proffesiynol parhaus i gynnwys, polisïau gwybodaeth wedi eu diweddaru, gweithdrefnau a chanllawiau arfer</w:t>
      </w:r>
    </w:p>
    <w:p>
      <w:pPr/>
      <w:r>
        <w:rPr>
          <w:lang w:val="en-GB"/>
        </w:rPr>
        <w:t xml:space="preserve">5. yr </w:t>
      </w:r>
    </w:p>
    <w:p>
      <w:pPr/>
      <w:r>
        <w:rPr>
          <w:lang w:val="en-GB"/>
        </w:rPr>
        <w:t>anatomeg a'r ffisioleg sy'n</w:t>
      </w:r>
    </w:p>
    <w:p>
      <w:pPr/>
      <w:r>
        <w:rPr>
          <w:lang w:val="en-GB"/>
        </w:rPr>
        <w:t xml:space="preserve"> berthnasol sy'n berthnasol i'r safon yma</w:t>
      </w:r>
    </w:p>
    <w:p>
      <w:pPr/>
      <w:r>
        <w:rPr>
          <w:lang w:val="en-GB"/>
        </w:rPr>
        <w:t>6. y mathau o, cyfansoddiad ac effeithiau ffarmacolegol y cyfansoddion cemegol mewn toddiadau tocsin botwliniwm, i gynnwys:</w:t>
      </w:r>
    </w:p>
    <w:p>
      <w:pPr/>
      <w:r>
        <w:rPr>
          <w:lang w:val="en-GB"/>
        </w:rPr>
        <w:t>6.1 sut all crefydd a chredo rwystro triniaeth tocsin botwliniwm math A</w:t>
      </w:r>
    </w:p>
    <w:p>
      <w:pPr>
        <w:numPr>
          <w:ilvl w:val="0"/>
          <w:numId w:val="6"/>
        </w:numPr>
      </w:pPr>
      <w:r>
        <w:t>pwysigrwydd derbyn diagnosis wedi ei seilio ar dystiolaeth gan feddyg teulu,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7.1 diben a chanlyniadau profion iodin</w:t>
      </w:r>
    </w:p>
    <w:p>
      <w:pPr>
        <w:numPr>
          <w:ilvl w:val="0"/>
          <w:numId w:val="7"/>
        </w:numPr>
      </w:pPr>
      <w:r>
        <w:t>y gwahaniaethau rhwng gor-chwysu cosmetig a hyperhidrosis ceseiliol canolog cynradd ac eilaidd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 y rhesymau dros beidio â thrin hyperhidrosis ceseiliol canolog eilaidd</w:t>
      </w:r>
    </w:p>
    <w:p>
      <w:pPr/>
      <w:r>
        <w:rPr>
          <w:lang w:val="en-GB"/>
        </w:rPr>
        <w:t>10. sut i adnabod y man heiperheidrotig o bob cesail yn ôl y man blewog i gynnwys:</w:t>
      </w:r>
    </w:p>
    <w:p>
      <w:pPr/>
      <w:r>
        <w:rPr>
          <w:lang w:val="en-GB"/>
        </w:rPr>
        <w:t>10.1 faint o bigiadau y gellir yn ddiogel eu defnyddio</w:t>
      </w:r>
    </w:p>
    <w:p>
      <w:pPr/>
      <w:r>
        <w:rPr>
          <w:lang w:val="en-GB"/>
        </w:rPr>
        <w:t>10.2 pam mae’n rhaid i chi adael yr un faint o bellter rhwng mannau pigiad</w:t>
      </w:r>
    </w:p>
    <w:p>
      <w:pPr/>
      <w:r>
        <w:rPr>
          <w:lang w:val="en-GB"/>
        </w:rPr>
        <w:t>10.3 yr offer diheintiedig a ddefnyddir i nodi'r mannau lle caiff y pigiadau eu rhoi cyn y driniaeth</w:t>
      </w:r>
    </w:p>
    <w:p>
      <w:pPr>
        <w:numPr>
          <w:ilvl w:val="0"/>
          <w:numId w:val="8"/>
        </w:numPr>
      </w:pPr>
      <w:r>
        <w:t>effaith ffisiolegol y toddiant tocsin botwliniwm tocsin math A ar feinewoedd gwaelodol y corff, mewn perthynas â'r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11.1 atal rhyddhau’r niwrodrawsyrrydd asetylcolin a’i effaith ar y system nerfol paraymatebol </w:t>
      </w:r>
    </w:p>
    <w:p>
      <w:pPr/>
      <w:r>
        <w:rPr>
          <w:lang w:val="en-GB"/>
        </w:rPr>
        <w:t>11.2 pam mai rhywbeth dros dro yw effaith pigiadau o docsin botwliniwm math A o dan y croen</w:t>
      </w:r>
    </w:p>
    <w:p>
      <w:pPr/>
      <w:r>
        <w:rPr>
          <w:lang w:val="en-GB"/>
        </w:rPr>
        <w:t>11.3 pa mor aml mae angen triniaethau yn unol ag anghenion yr unigolyn </w:t>
      </w:r>
    </w:p>
    <w:p>
      <w:pPr/>
      <w:r>
        <w:rPr>
          <w:lang w:val="en-GB"/>
        </w:rPr>
        <w:t>12. diben, defnydd a chyfyngiadau'r triniaethau tocsin botwliniwm math A , mewn perthynas â'r canlynol:</w:t>
      </w:r>
    </w:p>
    <w:p>
      <w:pPr/>
      <w:r>
        <w:rPr>
          <w:lang w:val="en-GB"/>
        </w:rPr>
        <w:t>12.1 hanes meddygol cyfredol a bleanorol</w:t>
      </w:r>
    </w:p>
    <w:p>
      <w:pPr/>
      <w:r>
        <w:rPr>
          <w:lang w:val="en-GB"/>
        </w:rPr>
        <w:t>12.2 hanes trinaethau cosmetig blaenorol nad oeddynt yn llawfeddygol</w:t>
      </w:r>
    </w:p>
    <w:p>
      <w:pPr/>
      <w:r>
        <w:rPr>
          <w:lang w:val="en-GB"/>
        </w:rPr>
        <w:t>12.3 ffactorau perthnasol yn y ffordd o fyw</w:t>
      </w:r>
    </w:p>
    <w:p>
      <w:pPr/>
      <w:r>
        <w:rPr>
          <w:lang w:val="en-GB"/>
        </w:rPr>
        <w:t>12.4 meddyginiaethau a chyflyrrau meddygol</w:t>
      </w:r>
    </w:p>
    <w:p>
      <w:pPr/>
      <w:r>
        <w:rPr>
          <w:lang w:val="en-GB"/>
        </w:rPr>
        <w:t>12.5 ystyried lles corfforol a seicolegol yr unigolyn o’r driniaeth tocsin botwliniwm</w:t>
      </w:r>
    </w:p>
    <w:p>
      <w:pPr/>
      <w:r>
        <w:rPr>
          <w:lang w:val="en-GB"/>
        </w:rPr>
        <w:t>12.6 disgwyliadau'r unigolyn</w:t>
      </w:r>
    </w:p>
    <w:p>
      <w:pPr>
        <w:numPr>
          <w:ilvl w:val="0"/>
          <w:numId w:val="9"/>
        </w:numPr>
      </w:pPr>
      <w:r>
        <w:t>yr </w:t>
      </w:r>
    </w:p>
    <w:p>
      <w:pPr>
        <w:numPr>
          <w:ilvl w:val="0"/>
          <w:numId w:val="9"/>
        </w:numPr>
      </w:pPr>
      <w:r>
        <w:t>adweithiau niweidiol</w:t>
      </w:r>
    </w:p>
    <w:p>
      <w:pPr>
        <w:numPr>
          <w:ilvl w:val="0"/>
          <w:numId w:val="9"/>
        </w:numPr>
      </w:pPr>
      <w:r>
        <w:t> sy'n gysylltiedig â'r driniaeth tocsin  botwliniwm math 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14. cymryd y camau cywir os bydd yna adwaith neu ddigwyddiad niweidiol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14.1 pam a pha bryd mae angen ymyrraeth feddygol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14.2 y </w:t>
      </w:r>
    </w:p>
    <w:p>
      <w:pPr/>
      <w:r>
        <w:rPr>
          <w:lang w:val="en-GB"/>
        </w:rPr>
        <w:t>strategaethau ar gyfer osgoi risg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y gwahaniaethu rhwng cynnyrch wedi’i drwyddedu, heb label a heb ei drwyddedu, i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15.1 y gofynion rheoleiddio a deddfwriaethol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y defnydd trwyddedig dynodedig o feddyginiaethau na ellir ond eu cael ar brescripsiwn a phryd y gellir eu defnyddio heb label, gan ystyried: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16.1 diogelwch</w:t>
      </w:r>
    </w:p>
    <w:p>
      <w:pPr/>
      <w:r>
        <w:rPr>
          <w:lang w:val="en-GB"/>
        </w:rPr>
        <w:t>16.2 man triniaeth</w:t>
      </w:r>
    </w:p>
    <w:p>
      <w:pPr/>
      <w:r>
        <w:rPr>
          <w:lang w:val="en-GB"/>
        </w:rPr>
        <w:t xml:space="preserve">16.3 addasrwydd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16.4 cytundeb gyda'r rhagnodwr annibynol sy'n cael ei reoleiddio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y mathau o ddulliau rheoli poen a risgiau cysylltiedig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18. y gofynion deddfwriaethol a chyfyngiadau ar gyfer canfod, cadw a defnyddio anesthetigion cyfoes wedi eu trwyddedu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19. y cyfrifoldebau am iechyd a diogelwch yn unol â deddfwriaeth cyn, yn ystod ac ar ôl y driniaeth tocsin botwliniwm math 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20. pwysigrwydd cael a thrafod y canlyniadau ymgynghori gyda'r rhagnodwr annibynol sy'n cael ei reoleiddio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21. pwysigrwydd cael a dilyn cyfarwyddiadau gan y rhagnodwr annibynol sy'n cael ei reoleiddio yn unol â'r polisi rheoli meddyginiaethau, cyfarwyddiadau'r gwneuthurwr, gofynion deddfwriaethol a rheoleiddiol, i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21.1 mynediad</w:t>
      </w:r>
    </w:p>
    <w:p>
      <w:pPr/>
      <w:r>
        <w:rPr>
          <w:lang w:val="en-GB"/>
        </w:rPr>
        <w:t>21.2 defnydd</w:t>
      </w:r>
    </w:p>
    <w:p>
      <w:pPr/>
      <w:r>
        <w:rPr>
          <w:lang w:val="en-GB"/>
        </w:rPr>
        <w:t> 21.3 cadw</w:t>
      </w:r>
    </w:p>
    <w:p>
      <w:pPr/>
      <w:r>
        <w:rPr>
          <w:lang w:val="en-GB"/>
        </w:rPr>
        <w:t>21.4 pa mor hir fyddant yn cadw a phryd fyddant yn dod i ben</w:t>
      </w:r>
    </w:p>
    <w:p>
      <w:pPr/>
      <w:r>
        <w:rPr>
          <w:lang w:val="en-GB"/>
        </w:rPr>
        <w:t xml:space="preserve">21.5 polisi cael gwared o wastraff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21.6 archwilio ac atebolrwydd</w:t>
      </w:r>
    </w:p>
    <w:p>
      <w:pPr/>
      <w:r>
        <w:rPr>
          <w:lang w:val="en-GB"/>
        </w:rPr>
        <w:t>22. sut mae canlyniadau ymgynghori’r rhagnodwr sy’n cael ei reoleiddio yn hysbysu’r cynllun triniaeth tocsin botwliniwm math A </w:t>
      </w:r>
    </w:p>
    <w:p>
      <w:pPr/>
      <w:r>
        <w:rPr>
          <w:lang w:val="en-GB"/>
        </w:rPr>
        <w:t>23. pam ei bod hi'n bwysig trafod ac adnabod amcanion, pryderon, disgwyliaidau yr unigolyn a'r canlyniadau y mae'n ei ddymuno a chytuno ar y cynllun triniaeth botwliniwm math 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24. pwysigrwydd defnyddio </w:t>
      </w:r>
    </w:p>
    <w:p>
      <w:pPr/>
      <w:r>
        <w:rPr>
          <w:lang w:val="en-GB"/>
        </w:rPr>
        <w:t>cymhorthion gweledol</w:t>
      </w:r>
    </w:p>
    <w:p>
      <w:pPr/>
      <w:r>
        <w:rPr>
          <w:lang w:val="en-GB"/>
        </w:rPr>
        <w:t xml:space="preserve"> i hysbysu'r unigolyn o'r effeithiau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25. strwythurau talu a dewisiadau ar gyfer triniaeth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26. pam ei bod yn bwysig caniatau amser i’r unigolyn ystyried cyn cadarnhau a chytuno i dderbyn triniaeth gosmetig ddewisol nad yw’n llawfeddygol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27. pwysigrwydd sicrhau cydsyniad gwybodus ar gyfer triniaeth tocsin botwliniwm  math A a rheoli poen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28. y gofynion deddfwriaethol a digollediad ar gyfer sicrhau cydsyniad gwybodus wedi’i lofnodi ar gyfer triniaeth gosmetig ddewisol nad yw’n llawfeddygol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29. y mathau o gynnyrch glendid ar gyfer y croen a phwysigrwydd dilyn cyfarwyddiadau’r gwneuthurwr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30. pwysigrwydd cadw at y protocol tocsin botwliniwm math 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31. pwysigrwydd monitro iechyd a lles yr yr unigolyn yn ystod ac ar ôl y driniaethp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32. pwysigrwydd cadw at y cynllun argyfwng os bydd yna adwaith niweidiol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33. y gofynion deddfwriaethol, yswiriant a chyfundrefnol ar gyfer cymryd a chadw cyfryngau gweledol o fan triniaeth yr unigolyn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34. y gofynion deddfwriaethol a rheoleiddiol ar gyfer cwblhau a chadw cofnodion meddygol yr unigolyn a'i driniaeth gosmetig nad yw'n llawfeddygol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35. y canlyniadau disgwyliedig o'r driniaeth tocsin botwliniwm math 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36. pwysigrwydd trafod, adfyfyrio, gwerthuso a chofnodi'r canlyniadau gyda'r rhagnodwr annibynol sy'n cael ei reoleiddio er mwyn cael gwybodaeth ar gyfer camau pellach a thriniaethau yn y dyfodol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37. sut i gasglu, dadansoddi, crynhoi a chofnodi adborth gwerthuso mewn modd clir a chryno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38. pwysigrwydd cofnodi canlyniad y driniaeth tocsin botwliniwm math A a’r gwerthusiad ohoni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Gwybodaeth Ychwanegol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Disgwylir i’r rhagnodwr annibynnol sy’n cael ei reoleiddio fod wedi cyflawni’r cymwysterau perthnasol sy’n cwrdd â’r gofynion deddfwriaethol a rheoleiddiol. Rhaid i’r cymwysterau llawn gael eu harddangos yn cynnwys y rhif pin a’r cyrff rheoleiddiol.</w:t>
      </w:r>
    </w:p>
    <w:p>
      <w:pPr/>
      <w:r>
        <w:rPr>
          <w:lang w:val="en-GB"/>
        </w:rPr>
        <w:t>Disgwylir i’r ymarferydd fod eisoes yn gallu dangos gallu mewn penderfynu’r gwrtharwyddion cymharol (cyfyngol) a llwyr (ataliol) ar gyfer y triniaethau cosmetig nad ydynt yn llawfeddygol. Yn ogystal â hyn, dylai’r ymarferydd esthetig allu adnabod adweithiau neu ddigwyddiadau niweidiol a gweithredu ar fyrder i’w cywiro fel ag y cytunwyd o fewn cynllun argyfwng y rhagnodwr annibynnol sydd wedi ei reoleiddio.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Protocol triniaeth tocsin Botwliniwm math A</w:t>
      </w:r>
    </w:p>
    <w:p>
      <w:pPr>
        <w:numPr>
          <w:ilvl w:val="0"/>
          <w:numId w:val="10"/>
        </w:numPr>
      </w:pPr>
      <w:r>
        <w:t>amgylchedd waith</w:t>
      </w:r>
    </w:p>
    <w:p>
      <w:pPr>
        <w:numPr>
          <w:ilvl w:val="0"/>
          <w:numId w:val="10"/>
        </w:numPr>
      </w:pPr>
      <w:r>
        <w:t>iechyd a diogelwch</w:t>
      </w:r>
    </w:p>
    <w:p>
      <w:pPr>
        <w:numPr>
          <w:ilvl w:val="0"/>
          <w:numId w:val="10"/>
        </w:numPr>
      </w:pPr>
      <w:r>
        <w:t>cynllun rheoli risg</w:t>
      </w:r>
    </w:p>
    <w:p>
      <w:pPr>
        <w:numPr>
          <w:ilvl w:val="0"/>
          <w:numId w:val="10"/>
        </w:numPr>
      </w:pPr>
      <w:r>
        <w:t>rhwystro a rheoli haint</w:t>
      </w:r>
    </w:p>
    <w:p>
      <w:pPr>
        <w:numPr>
          <w:ilvl w:val="0"/>
          <w:numId w:val="10"/>
        </w:numPr>
      </w:pPr>
      <w:r>
        <w:t>canlyniadau ymgynghori gan y rhagnodwr annibynnol sy'n cael ei reoleiddio</w:t>
      </w:r>
    </w:p>
    <w:p>
      <w:pPr>
        <w:numPr>
          <w:ilvl w:val="0"/>
          <w:numId w:val="10"/>
        </w:numPr>
      </w:pPr>
      <w:r>
        <w:t>cynllun rheoli</w:t>
      </w:r>
    </w:p>
    <w:p>
      <w:pPr>
        <w:numPr>
          <w:ilvl w:val="0"/>
          <w:numId w:val="10"/>
        </w:numPr>
      </w:pPr>
      <w:r>
        <w:t>rheoli meddyginiaeth</w:t>
      </w:r>
    </w:p>
    <w:p>
      <w:pPr>
        <w:numPr>
          <w:ilvl w:val="0"/>
          <w:numId w:val="10"/>
        </w:numPr>
      </w:pPr>
      <w:r>
        <w:t>cynllun triniaeth</w:t>
      </w:r>
    </w:p>
    <w:p>
      <w:pPr>
        <w:numPr>
          <w:ilvl w:val="0"/>
          <w:numId w:val="10"/>
        </w:numPr>
      </w:pPr>
      <w:r>
        <w:t>cydsyniad wedi ei hysbysu</w:t>
      </w:r>
    </w:p>
    <w:p>
      <w:pPr>
        <w:numPr>
          <w:ilvl w:val="0"/>
          <w:numId w:val="10"/>
        </w:numPr>
      </w:pPr>
      <w:r>
        <w:t>pobl broffesiynol briodol</w:t>
      </w:r>
    </w:p>
    <w:p>
      <w:pPr>
        <w:numPr>
          <w:ilvl w:val="0"/>
          <w:numId w:val="10"/>
        </w:numPr>
      </w:pPr>
      <w:r>
        <w:t>rheoli data</w:t>
      </w:r>
    </w:p>
    <w:p>
      <w:pPr>
        <w:numPr>
          <w:ilvl w:val="0"/>
          <w:numId w:val="10"/>
        </w:numPr>
      </w:pPr>
      <w:r>
        <w:t>archwilio ac atebolrwydd</w:t>
      </w:r>
    </w:p>
    <w:p>
      <w:pPr>
        <w:numPr>
          <w:ilvl w:val="0"/>
          <w:numId w:val="10"/>
        </w:numPr>
      </w:pPr>
      <w:r>
        <w:t>cyfarwyddiadau'r gwneuthurwr</w:t>
      </w:r>
    </w:p>
    <w:p>
      <w:pPr>
        <w:numPr>
          <w:ilvl w:val="0"/>
          <w:numId w:val="10"/>
        </w:numPr>
      </w:pPr>
      <w:r>
        <w:t>cyfarwyddiadau a chyngor</w:t>
      </w:r>
    </w:p>
    <w:p>
      <w:pPr>
        <w:numPr>
          <w:ilvl w:val="0"/>
          <w:numId w:val="10"/>
        </w:numPr>
      </w:pPr>
      <w:r>
        <w:t>cynaliadwyedd</w:t>
      </w:r>
    </w:p>
    <w:p>
      <w:pPr>
        <w:numPr>
          <w:ilvl w:val="0"/>
          <w:numId w:val="10"/>
        </w:numPr>
      </w:pPr>
      <w:r>
        <w:t>rheoli gwastraff</w:t>
      </w:r>
    </w:p>
    <w:p>
      <w:pPr>
        <w:numPr>
          <w:ilvl w:val="0"/>
          <w:numId w:val="10"/>
        </w:numPr>
      </w:pPr>
      <w:r>
        <w:t>ymarfer yn seiliedig ar dystiolaeth</w:t>
      </w:r>
    </w:p>
    <w:p>
      <w:pPr>
        <w:numPr>
          <w:ilvl w:val="0"/>
          <w:numId w:val="10"/>
        </w:numPr>
      </w:pPr>
      <w:r>
        <w:t>arfer adfyfyriol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Gwrth Weithredoedd</w:t>
      </w:r>
    </w:p>
    <w:p>
      <w:pPr/>
      <w:r>
        <w:rPr>
          <w:lang w:val="en-GB"/>
        </w:rPr>
        <w:br/>
      </w:r>
    </w:p>
    <w:p>
      <w:pPr>
        <w:numPr>
          <w:ilvl w:val="0"/>
          <w:numId w:val="11"/>
        </w:numPr>
      </w:pPr>
      <w:r>
        <w:t>hyperemia</w:t>
      </w:r>
    </w:p>
    <w:p>
      <w:pPr>
        <w:numPr>
          <w:ilvl w:val="0"/>
          <w:numId w:val="11"/>
        </w:numPr>
      </w:pPr>
      <w:r>
        <w:t>mân anafiadau</w:t>
      </w:r>
    </w:p>
    <w:p>
      <w:pPr>
        <w:numPr>
          <w:ilvl w:val="0"/>
          <w:numId w:val="11"/>
        </w:numPr>
      </w:pPr>
      <w:r>
        <w:t>cleisio</w:t>
      </w:r>
    </w:p>
    <w:p>
      <w:pPr>
        <w:numPr>
          <w:ilvl w:val="0"/>
          <w:numId w:val="11"/>
        </w:numPr>
      </w:pPr>
      <w:r>
        <w:t>chwydd gwyn</w:t>
      </w:r>
    </w:p>
    <w:p>
      <w:pPr>
        <w:numPr>
          <w:ilvl w:val="0"/>
          <w:numId w:val="11"/>
        </w:numPr>
      </w:pPr>
      <w:r>
        <w:t>poen braich</w:t>
      </w:r>
    </w:p>
    <w:p>
      <w:pPr>
        <w:numPr>
          <w:ilvl w:val="0"/>
          <w:numId w:val="11"/>
        </w:numPr>
      </w:pPr>
      <w:r>
        <w:t>gwendid yn y cyhyrau</w:t>
      </w:r>
    </w:p>
    <w:p>
      <w:pPr>
        <w:numPr>
          <w:ilvl w:val="0"/>
          <w:numId w:val="11"/>
        </w:numPr>
      </w:pPr>
      <w:r>
        <w:t>poen yn y cyhyrau</w:t>
      </w:r>
    </w:p>
    <w:p>
      <w:pPr>
        <w:numPr>
          <w:ilvl w:val="0"/>
          <w:numId w:val="11"/>
        </w:numPr>
      </w:pPr>
      <w:r>
        <w:t>cosi yn y gesail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5D1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6C313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9E745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E3C546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B5DEFD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C0BBB9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211FA2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756273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A4A2BD8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144F8A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1D6ED2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d830cfe53c54733" /><Relationship Type="http://schemas.openxmlformats.org/officeDocument/2006/relationships/numbering" Target="/word/numbering.xml" Id="R2989222ec3b34089" /><Relationship Type="http://schemas.openxmlformats.org/officeDocument/2006/relationships/settings" Target="/word/settings.xml" Id="Rb6697be143e94345" /><Relationship Type="http://schemas.openxmlformats.org/officeDocument/2006/relationships/image" Target="/word/media/e2f0ae03-7a87-4eb2-bacd-351c887f0534.png" Id="Rdeaa45c19e9a4b85" /></Relationships>
</file>