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783b77216141f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SFJCCAH2</w:t>
            </w:r>
            <w:r>
              <w:rPr>
                <w:b/>
              </w:rPr>
              <w:br/>
            </w:r>
            <w:r>
              <w:rPr>
                <w:b/>
              </w:rPr>
              <w:t>Rheoli adferiad cymunedol wedi argyfyngau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44c6daa2e8c4aa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chefnogi adferiad cymunedau wedi argyfyngau.  Mae'n cynnwys cymryd camau i atal effeithiau argyfyngau rhag esgaladu a sicrhau bod adferiad parhaus yn derbyn sylw yn ystod ymatebion. Mae hefyd yn cynnwys nodi cyngor, cyllido a chymorth arall perthnasol, a chefnogi unigolion a sefydliadau i reoli eu hadferiad parhaus eu hunain.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y rhai sy'n rheoli gwaith gyda chymunedau i gefnogi eu hadferiad wedi argyfyngau.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4144bb7f4a4b24" /><Relationship Type="http://schemas.openxmlformats.org/officeDocument/2006/relationships/numbering" Target="/word/numbering.xml" Id="Rf7f19a68877942fd" /><Relationship Type="http://schemas.openxmlformats.org/officeDocument/2006/relationships/settings" Target="/word/settings.xml" Id="R4e8c069801394a60" /><Relationship Type="http://schemas.openxmlformats.org/officeDocument/2006/relationships/image" Target="/word/media/51a0ab2e-1a1c-44ed-8c9c-7d9e89ead736.png" Id="R344c6daa2e8c4aaa" /></Relationships>
</file>