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848e19b4934ab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SFJCCAG4</w:t>
            </w:r>
            <w:r>
              <w:rPr>
                <w:b/>
              </w:rPr>
              <w:br/>
            </w:r>
            <w:r>
              <w:rPr>
                <w:b/>
              </w:rPr>
              <w:t>Ymdrin ag anghenion unigolion yn ystod ymatebion cychwynnol i argyfyngau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5675d3f40dc4ed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darparu cefnogaeth ymarferol ac emosiynol i unigolion yn ystod cyfnodau cychwynnol argyfyngau.  Mae'n cynnwys galluogi unigolion i ddiwallu eu hanghenion uniongyrchol, darparu gwybodaeth a hwyluso mynediad i gyfleusterau a gwasanaethau tymor hir.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Grŵp Targed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ar gyfer unrhyw un sy'n debygol o ymwneud â chyfnodau cychwynnol argyfyngau.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dde20eb73474af7" /><Relationship Type="http://schemas.openxmlformats.org/officeDocument/2006/relationships/numbering" Target="/word/numbering.xml" Id="Ra103d19d32d94234" /><Relationship Type="http://schemas.openxmlformats.org/officeDocument/2006/relationships/settings" Target="/word/settings.xml" Id="Re6db91acf25c4adc" /><Relationship Type="http://schemas.openxmlformats.org/officeDocument/2006/relationships/image" Target="/word/media/c06c2a3e-5e4a-427e-8db7-e7074350d944.png" Id="R05675d3f40dc4ede" /></Relationships>
</file>