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3d939b095545d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SFJCCAB1</w:t>
            </w:r>
            <w:r>
              <w:rPr>
                <w:b/>
              </w:rPr>
              <w:br/>
            </w:r>
            <w:r>
              <w:rPr>
                <w:b/>
              </w:rPr>
              <w:t>Rhagweld ac asesu risg argyfyngau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6e20c5b729342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rhagweld ac asesu risg argyfyngau'n effeithio ar ardal neu ardaloedd lleol, sector neu sefydliad. Mae'n cynnwys gweithio mewn cydweithrediad ag ymatebwyr eraill i argyfyngau a chyfathrebu asesiadau risg i eraill.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Grŵp Targed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ar gyfer y rhai sydd â chyfrifoldeb penodol am asesiadau risg sy'n cwmpasu ardal neu ardaloedd lleol, sector neu sefydliad, gan gynnwys ymarferwyr sy'n cynghori ymatebwyr lleol.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e82fef31d314827" /><Relationship Type="http://schemas.openxmlformats.org/officeDocument/2006/relationships/numbering" Target="/word/numbering.xml" Id="R975c96395b1745de" /><Relationship Type="http://schemas.openxmlformats.org/officeDocument/2006/relationships/settings" Target="/word/settings.xml" Id="Re1630330a2904c3a" /><Relationship Type="http://schemas.openxmlformats.org/officeDocument/2006/relationships/image" Target="/word/media/11d7c689-031d-46b1-914c-a057e769aa8a.png" Id="R46e20c5b72934286" /></Relationships>
</file>