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501e7392b41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INSSUR18</w:t>
            </w:r>
            <w:r>
              <w:rPr>
                <w:b/>
              </w:rPr>
              <w:br/>
            </w:r>
            <w:r>
              <w:rPr>
                <w:b/>
              </w:rPr>
              <w:t>Prepare information relevant to the resolution of disputes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5f506c1c9340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information relevant to the resolution of disputes regarding the acquisition or disposal of a property, producing evidence by research and following organisational procedures.  This also covers disputes concerning construction, contracts and valuation.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collate and prepare information which is relevant to the resolution of the dispute, within the legal time limits</w:t>
      </w:r>
    </w:p>
    <w:p>
      <w:pPr>
        <w:numPr>
          <w:ilvl w:val="0"/>
          <w:numId w:val="1"/>
        </w:numPr>
      </w:pPr>
      <w:r>
        <w:t>identify information which does not comply with the relevant standards and verify it with the legal professionals who produced it</w:t>
      </w:r>
    </w:p>
    <w:p>
      <w:pPr>
        <w:numPr>
          <w:ilvl w:val="0"/>
          <w:numId w:val="1"/>
        </w:numPr>
      </w:pPr>
      <w:r>
        <w:t>investigate sources of information that are required for the resolution of the dispute and summarise the information for the relevant parties involved</w:t>
      </w:r>
    </w:p>
    <w:p>
      <w:pPr>
        <w:numPr>
          <w:ilvl w:val="0"/>
          <w:numId w:val="1"/>
        </w:numPr>
      </w:pPr>
      <w:r>
        <w:t>assess the documentation for relevance, verify its validity, identify and obtain information to fill any gaps and produce a summary as part of the case materials</w:t>
      </w:r>
    </w:p>
    <w:p>
      <w:pPr>
        <w:numPr>
          <w:ilvl w:val="0"/>
          <w:numId w:val="1"/>
        </w:numPr>
      </w:pPr>
      <w:r>
        <w:t>examine existing cases and precedents, select relevant examples and include them in the case materials and evaluation criteria</w:t>
      </w:r>
    </w:p>
    <w:p>
      <w:pPr>
        <w:numPr>
          <w:ilvl w:val="0"/>
          <w:numId w:val="1"/>
        </w:numPr>
      </w:pPr>
      <w:r>
        <w:t>notify the relevant legal professionals in cases where expert advice is required</w:t>
      </w:r>
    </w:p>
    <w:p>
      <w:pPr>
        <w:numPr>
          <w:ilvl w:val="0"/>
          <w:numId w:val="1"/>
        </w:numPr>
      </w:pPr>
      <w:r>
        <w:t>produce conclusions and recommendations for further action and pass them to the legal professionals involved in resolving the dispute</w:t>
      </w:r>
    </w:p>
    <w:p>
      <w:pPr>
        <w:numPr>
          <w:ilvl w:val="0"/>
          <w:numId w:val="1"/>
        </w:numPr>
      </w:pPr>
      <w:r>
        <w:t>follow agreed organisational procedures and meet the specified legal time limits for submitting written materials and responses to the relevant legal professionals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collate and prepare information which is relevant to the resolution of the dispute</w:t>
      </w:r>
    </w:p>
    <w:p>
      <w:pPr>
        <w:numPr>
          <w:ilvl w:val="0"/>
          <w:numId w:val="2"/>
        </w:numPr>
      </w:pPr>
      <w:r>
        <w:t>how to identify information which does not comply with the relevant standards and verify it with the legal professionals who produced it</w:t>
      </w:r>
    </w:p>
    <w:p>
      <w:pPr>
        <w:numPr>
          <w:ilvl w:val="0"/>
          <w:numId w:val="2"/>
        </w:numPr>
      </w:pPr>
      <w:r>
        <w:t>how to investigate the sources of information that are required for the resolution of the dispute and how to summarise the information for the relevant parties involved</w:t>
      </w:r>
    </w:p>
    <w:p>
      <w:pPr>
        <w:numPr>
          <w:ilvl w:val="0"/>
          <w:numId w:val="2"/>
        </w:numPr>
      </w:pPr>
      <w:r>
        <w:t>how to assess the documentation for relevance, verify its validity, identify and obtain information to fill any gaps and produce a summary as part of the case materials</w:t>
      </w:r>
    </w:p>
    <w:p>
      <w:pPr>
        <w:numPr>
          <w:ilvl w:val="0"/>
          <w:numId w:val="2"/>
        </w:numPr>
      </w:pPr>
      <w:r>
        <w:t>the importance of examining existing cases and precedents and selecting relevant examples to be included in the case materials and evaluation criteria</w:t>
      </w:r>
    </w:p>
    <w:p>
      <w:pPr>
        <w:numPr>
          <w:ilvl w:val="0"/>
          <w:numId w:val="2"/>
        </w:numPr>
      </w:pPr>
      <w:r>
        <w:t>how and when to notify the relevant legal professionals where expert advice is required</w:t>
      </w:r>
    </w:p>
    <w:p>
      <w:pPr>
        <w:numPr>
          <w:ilvl w:val="0"/>
          <w:numId w:val="2"/>
        </w:numPr>
      </w:pPr>
      <w:r>
        <w:t>how to produce conclusions and recommendations for further action and pass them to the legal professionals involved in resolving the dispute</w:t>
      </w:r>
    </w:p>
    <w:p>
      <w:pPr>
        <w:numPr>
          <w:ilvl w:val="0"/>
          <w:numId w:val="2"/>
        </w:numPr>
      </w:pPr>
      <w:r>
        <w:t>how to follow agreed organisational procedures and meet the specified legal time limits for submitting written materials and responses to the relevant legal professionals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Information which is relevant to the dispute/sources of information:</w:t>
      </w:r>
    </w:p>
    <w:p>
      <w:pPr>
        <w:numPr>
          <w:ilvl w:val="0"/>
          <w:numId w:val="3"/>
        </w:numPr>
      </w:pPr>
      <w:r>
        <w:t>contract documents</w:t>
      </w:r>
    </w:p>
    <w:p>
      <w:pPr>
        <w:numPr>
          <w:ilvl w:val="0"/>
          <w:numId w:val="3"/>
        </w:numPr>
      </w:pPr>
      <w:r>
        <w:t>correspondence</w:t>
      </w:r>
    </w:p>
    <w:p>
      <w:pPr>
        <w:numPr>
          <w:ilvl w:val="0"/>
          <w:numId w:val="3"/>
        </w:numPr>
      </w:pPr>
      <w:r>
        <w:t>instructions</w:t>
      </w:r>
    </w:p>
    <w:p>
      <w:pPr>
        <w:numPr>
          <w:ilvl w:val="0"/>
          <w:numId w:val="3"/>
        </w:numPr>
      </w:pPr>
      <w:r>
        <w:t>contract records</w:t>
      </w:r>
    </w:p>
    <w:p>
      <w:pPr>
        <w:numPr>
          <w:ilvl w:val="0"/>
          <w:numId w:val="3"/>
        </w:numPr>
      </w:pPr>
      <w:r>
        <w:t>technical reports</w:t>
      </w:r>
    </w:p>
    <w:p>
      <w:pPr>
        <w:numPr>
          <w:ilvl w:val="0"/>
          <w:numId w:val="3"/>
        </w:numPr>
      </w:pPr>
      <w:r>
        <w:t>witness testimony</w:t>
      </w:r>
    </w:p>
    <w:p>
      <w:pPr>
        <w:numPr>
          <w:ilvl w:val="0"/>
          <w:numId w:val="3"/>
        </w:numPr>
      </w:pPr>
      <w:r>
        <w:t>other evidential material</w:t>
      </w:r>
    </w:p>
    <w:p>
      <w:pPr>
        <w:numPr>
          <w:ilvl w:val="0"/>
          <w:numId w:val="3"/>
        </w:numPr>
      </w:pPr>
      <w:r>
        <w:t>expert opinion</w:t>
      </w:r>
    </w:p>
    <w:p>
      <w:pPr>
        <w:numPr>
          <w:ilvl w:val="0"/>
          <w:numId w:val="3"/>
        </w:numPr>
      </w:pPr>
      <w:r>
        <w:t>statutes</w:t>
      </w:r>
    </w:p>
    <w:p>
      <w:pPr>
        <w:numPr>
          <w:ilvl w:val="0"/>
          <w:numId w:val="3"/>
        </w:numPr>
      </w:pPr>
      <w:r>
        <w:t>case summaries</w:t>
      </w:r>
    </w:p>
    <w:p>
      <w:pPr>
        <w:numPr>
          <w:ilvl w:val="0"/>
          <w:numId w:val="3"/>
        </w:numPr>
      </w:pPr>
      <w:r>
        <w:t>research and test sources</w:t>
      </w:r>
    </w:p>
    <w:p>
      <w:pPr>
        <w:numPr>
          <w:ilvl w:val="0"/>
          <w:numId w:val="3"/>
        </w:numPr>
      </w:pPr>
      <w:r>
        <w:t>standards and codes of practice</w:t>
      </w:r>
    </w:p>
    <w:p>
      <w:pPr>
        <w:numPr>
          <w:ilvl w:val="0"/>
          <w:numId w:val="3"/>
        </w:numPr>
      </w:pPr>
      <w:r>
        <w:t>colleagues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Dispute:</w:t>
      </w:r>
    </w:p>
    <w:p>
      <w:pPr>
        <w:numPr>
          <w:ilvl w:val="0"/>
          <w:numId w:val="4"/>
        </w:numPr>
      </w:pPr>
      <w:r>
        <w:t>property</w:t>
      </w:r>
    </w:p>
    <w:p>
      <w:pPr>
        <w:numPr>
          <w:ilvl w:val="0"/>
          <w:numId w:val="4"/>
        </w:numPr>
      </w:pPr>
      <w:r>
        <w:t>construction</w:t>
      </w:r>
    </w:p>
    <w:p>
      <w:pPr>
        <w:numPr>
          <w:ilvl w:val="0"/>
          <w:numId w:val="4"/>
        </w:numPr>
      </w:pPr>
      <w:r>
        <w:t>contracts</w:t>
      </w:r>
    </w:p>
    <w:p>
      <w:pPr>
        <w:numPr>
          <w:ilvl w:val="0"/>
          <w:numId w:val="4"/>
        </w:numPr>
      </w:pPr>
      <w:r>
        <w:t>valuation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ASTSPM3O21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Architects, Surveyor, Town Planners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Surveying, Property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surveying; property management; implement; clients; employer; refurbishment; development; planning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EC19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25B08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90188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7EE9EA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3d1a61c5814190" /><Relationship Type="http://schemas.openxmlformats.org/officeDocument/2006/relationships/numbering" Target="/word/numbering.xml" Id="R9a4906225a7a4ada" /><Relationship Type="http://schemas.openxmlformats.org/officeDocument/2006/relationships/settings" Target="/word/settings.xml" Id="Rd7f6d84f1e894aef" /><Relationship Type="http://schemas.openxmlformats.org/officeDocument/2006/relationships/image" Target="/word/media/9623c44a-3fd9-4127-b285-b510f89a1804.png" Id="R595f506c1c934011" /></Relationships>
</file>