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9731d53cdb40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SFHCI.M</w:t>
            </w:r>
            <w:r>
              <w:rPr>
                <w:b/>
              </w:rPr>
              <w:br/>
            </w:r>
            <w:r>
              <w:rPr>
                <w:b/>
              </w:rPr>
              <w:t>Produce dual-energy x-ray absorptiometry (dxa) scans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eeddddaf5d4c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SFHCI.M SFHCI.M This standard is concerned with the use of dual-energy X-ray absorptiometry (DXA) to produce scans that will be used for bone mass and body composition measurements and image analysis for the diagnosis of osteoporosis and sarcopenia. Production of DXA scans should be undertaken within the scope of your own role and practice. Key people are those involved in the individual's care and others involved in provision of services. Users of this standard will need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SFHCI.M</w:t>
      </w:r>
    </w:p>
    <w:p>
      <w:pPr/>
      <w:r>
        <w:rPr>
          <w:lang w:val="en-GB"/>
        </w:rPr>
        <w:t>SFHCI.M</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national standards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position the individual and adjust their clothing where required</w:t>
      </w:r>
    </w:p>
    <w:p>
      <w:pPr>
        <w:numPr>
          <w:ilvl w:val="0"/>
          <w:numId w:val="1"/>
        </w:numPr>
      </w:pPr>
      <w:r>
        <w:t>according to the protocols for the examination which allows an optimal</w:t>
      </w:r>
    </w:p>
    <w:p>
      <w:pPr>
        <w:numPr>
          <w:ilvl w:val="0"/>
          <w:numId w:val="1"/>
        </w:numPr>
      </w:pPr>
      <w:r>
        <w:t>outcome to be achieved while:</w:t>
      </w:r>
    </w:p>
    <w:p>
      <w:pPr>
        <w:numPr>
          <w:ilvl w:val="0"/>
          <w:numId w:val="1"/>
        </w:numPr>
      </w:pPr>
      <w:r>
        <w:t>14.1 recognising the individuals need to retain their dignity and selfrespect</w:t>
      </w:r>
    </w:p>
    <w:p>
      <w:pPr>
        <w:numPr>
          <w:ilvl w:val="0"/>
          <w:numId w:val="1"/>
        </w:numPr>
      </w:pPr>
      <w:r>
        <w:t>14.2 ensuring their comfort as far as possible</w:t>
      </w:r>
    </w:p>
    <w:p>
      <w:pPr>
        <w:numPr>
          <w:ilvl w:val="0"/>
          <w:numId w:val="1"/>
        </w:numPr>
      </w:pPr>
      <w:r>
        <w:t>14.3 preventing the appearance of artefacts</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/key people to facilitate</w:t>
      </w:r>
    </w:p>
    <w:p>
      <w:pPr>
        <w:numPr>
          <w:ilvl w:val="0"/>
          <w:numId w:val="1"/>
        </w:numPr>
      </w:pPr>
      <w:r>
        <w:t>their understanding and co-operation throughout the examination</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consider the technical aspects of the scanner set up in relation to</w:t>
      </w:r>
    </w:p>
    <w:p>
      <w:pPr>
        <w:numPr>
          <w:ilvl w:val="0"/>
          <w:numId w:val="1"/>
        </w:numPr>
      </w:pPr>
      <w:r>
        <w:t>the anatomical areas to be scanned</w:t>
      </w:r>
    </w:p>
    <w:p>
      <w:pPr>
        <w:numPr>
          <w:ilvl w:val="0"/>
          <w:numId w:val="1"/>
        </w:numPr>
      </w:pPr>
      <w:r>
        <w:t>SFHCI.M</w:t>
      </w:r>
    </w:p>
    <w:p>
      <w:pPr>
        <w:numPr>
          <w:ilvl w:val="0"/>
          <w:numId w:val="1"/>
        </w:numPr>
      </w:pPr>
      <w:r>
        <w:t>ensure the correct technical parameters have been chosen and</w:t>
      </w:r>
    </w:p>
    <w:p>
      <w:pPr>
        <w:numPr>
          <w:ilvl w:val="0"/>
          <w:numId w:val="1"/>
        </w:numPr>
      </w:pPr>
      <w:r>
        <w:t>assess the correct area ready for analysis</w:t>
      </w:r>
    </w:p>
    <w:p>
      <w:pPr>
        <w:numPr>
          <w:ilvl w:val="0"/>
          <w:numId w:val="1"/>
        </w:numPr>
      </w:pPr>
      <w:r>
        <w:t>on post processing of the scan, ensure all quality standards are</w:t>
      </w:r>
    </w:p>
    <w:p>
      <w:pPr>
        <w:numPr>
          <w:ilvl w:val="0"/>
          <w:numId w:val="1"/>
        </w:numPr>
      </w:pPr>
      <w:r>
        <w:t>correct, including anatomical sites and demographics</w:t>
      </w:r>
    </w:p>
    <w:p>
      <w:pPr>
        <w:numPr>
          <w:ilvl w:val="0"/>
          <w:numId w:val="1"/>
        </w:numPr>
      </w:pPr>
      <w:r>
        <w:t>following the preliminary clinical examination, inform the appropriate</w:t>
      </w:r>
    </w:p>
    <w:p>
      <w:pPr>
        <w:numPr>
          <w:ilvl w:val="0"/>
          <w:numId w:val="1"/>
        </w:numPr>
      </w:pPr>
      <w:r>
        <w:t>person if an abnormality is observed on the image which is likely to</w:t>
      </w:r>
    </w:p>
    <w:p>
      <w:pPr>
        <w:numPr>
          <w:ilvl w:val="0"/>
          <w:numId w:val="1"/>
        </w:numPr>
      </w:pPr>
      <w:r>
        <w:t>require further investigation or treatment</w:t>
      </w:r>
    </w:p>
    <w:p>
      <w:pPr>
        <w:numPr>
          <w:ilvl w:val="0"/>
          <w:numId w:val="1"/>
        </w:numPr>
      </w:pPr>
      <w:r>
        <w:t>explain the process for obtaining results</w:t>
      </w:r>
    </w:p>
    <w:p>
      <w:pPr>
        <w:numPr>
          <w:ilvl w:val="0"/>
          <w:numId w:val="1"/>
        </w:numPr>
      </w:pPr>
      <w:r>
        <w:t>record, collate and prepare appropriate documentation, images and</w:t>
      </w:r>
    </w:p>
    <w:p>
      <w:pPr>
        <w:numPr>
          <w:ilvl w:val="0"/>
          <w:numId w:val="1"/>
        </w:numPr>
      </w:pPr>
      <w:r>
        <w:t>scan analysis for transfer or storage according to local protocols</w:t>
      </w:r>
    </w:p>
    <w:p>
      <w:pPr>
        <w:numPr>
          <w:ilvl w:val="0"/>
          <w:numId w:val="1"/>
        </w:numPr>
      </w:pPr>
      <w:r>
        <w:t>verify that the images and scan data have arrived/been stored</w:t>
      </w:r>
    </w:p>
    <w:p>
      <w:pPr>
        <w:numPr>
          <w:ilvl w:val="0"/>
          <w:numId w:val="1"/>
        </w:numPr>
      </w:pPr>
      <w:r>
        <w:t>according to local 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SFHCI.M</w:t>
      </w:r>
    </w:p>
    <w:p>
      <w:pPr/>
      <w:r>
        <w:rPr>
          <w:lang w:val="en-GB"/>
        </w:rPr>
        <w:t>SFHCI.M</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being scanned</w:t>
      </w:r>
    </w:p>
    <w:p>
      <w:pPr>
        <w:numPr>
          <w:ilvl w:val="0"/>
          <w:numId w:val="2"/>
        </w:numPr>
      </w:pPr>
      <w:r>
        <w:t>physiological and pathological processes relevant to the area</w:t>
      </w:r>
    </w:p>
    <w:p>
      <w:pPr>
        <w:numPr>
          <w:ilvl w:val="0"/>
          <w:numId w:val="2"/>
        </w:numPr>
      </w:pPr>
      <w:r>
        <w:t>being scanned</w:t>
      </w:r>
    </w:p>
    <w:p>
      <w:pPr>
        <w:numPr>
          <w:ilvl w:val="0"/>
          <w:numId w:val="2"/>
        </w:numPr>
      </w:pPr>
      <w:r>
        <w:t>anatomical landmarks on the body that are relevant to DXA</w:t>
      </w:r>
    </w:p>
    <w:p>
      <w:pPr>
        <w:numPr>
          <w:ilvl w:val="0"/>
          <w:numId w:val="2"/>
        </w:numPr>
      </w:pPr>
      <w:r>
        <w:t>imaging</w:t>
      </w:r>
    </w:p>
    <w:p>
      <w:pPr>
        <w:numPr>
          <w:ilvl w:val="0"/>
          <w:numId w:val="2"/>
        </w:numPr>
      </w:pPr>
      <w:r>
        <w:t>the relevant joints in the body of the area being scanned and their</w:t>
      </w:r>
    </w:p>
    <w:p>
      <w:pPr>
        <w:numPr>
          <w:ilvl w:val="0"/>
          <w:numId w:val="2"/>
        </w:numPr>
      </w:pPr>
      <w:r>
        <w:t>movements</w:t>
      </w:r>
    </w:p>
    <w:p>
      <w:pPr>
        <w:numPr>
          <w:ilvl w:val="0"/>
          <w:numId w:val="2"/>
        </w:numPr>
      </w:pPr>
      <w:r>
        <w:t>the common relevant pathologies and normal variants of the area</w:t>
      </w:r>
    </w:p>
    <w:p>
      <w:pPr>
        <w:numPr>
          <w:ilvl w:val="0"/>
          <w:numId w:val="2"/>
        </w:numPr>
      </w:pPr>
      <w:r>
        <w:t>being scanned</w:t>
      </w:r>
    </w:p>
    <w:p>
      <w:pPr>
        <w:numPr>
          <w:ilvl w:val="0"/>
          <w:numId w:val="2"/>
        </w:numPr>
      </w:pPr>
      <w:r>
        <w:t>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manifestations of individuals physical and emotional status</w:t>
      </w:r>
    </w:p>
    <w:p>
      <w:pPr>
        <w:numPr>
          <w:ilvl w:val="0"/>
          <w:numId w:val="2"/>
        </w:numPr>
      </w:pPr>
      <w:r>
        <w:t>production, interactions and properties of DXA images</w:t>
      </w:r>
    </w:p>
    <w:p>
      <w:pPr>
        <w:numPr>
          <w:ilvl w:val="0"/>
          <w:numId w:val="2"/>
        </w:numPr>
      </w:pPr>
      <w:r>
        <w:t>the process involved in the formation of DXA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equipment capabilities and the differences in manufacturers</w:t>
      </w:r>
    </w:p>
    <w:p>
      <w:pPr>
        <w:numPr>
          <w:ilvl w:val="0"/>
          <w:numId w:val="2"/>
        </w:numPr>
      </w:pPr>
      <w:r>
        <w:t>specifications which will affect follow up scans and comparability</w:t>
      </w:r>
    </w:p>
    <w:p>
      <w:pPr>
        <w:numPr>
          <w:ilvl w:val="0"/>
          <w:numId w:val="2"/>
        </w:numPr>
      </w:pPr>
      <w:r>
        <w:t>the limitations and routine daily quality assurance processes</w:t>
      </w:r>
    </w:p>
    <w:p>
      <w:pPr>
        <w:numPr>
          <w:ilvl w:val="0"/>
          <w:numId w:val="2"/>
        </w:numPr>
      </w:pPr>
      <w:r>
        <w:t>SFHCI.M</w:t>
      </w:r>
    </w:p>
    <w:p>
      <w:pPr>
        <w:numPr>
          <w:ilvl w:val="0"/>
          <w:numId w:val="2"/>
        </w:numPr>
      </w:pPr>
      <w:r>
        <w:t>required by the operator</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considerations for the individuals size, body habitus and scan</w:t>
      </w:r>
    </w:p>
    <w:p>
      <w:pPr>
        <w:numPr>
          <w:ilvl w:val="0"/>
          <w:numId w:val="2"/>
        </w:numPr>
      </w:pPr>
      <w:r>
        <w:t>modes for image optimisation, which will affect analysis of the</w:t>
      </w:r>
    </w:p>
    <w:p>
      <w:pPr>
        <w:numPr>
          <w:ilvl w:val="0"/>
          <w:numId w:val="2"/>
        </w:numPr>
      </w:pPr>
      <w:r>
        <w:t>bone mineral density values</w:t>
      </w:r>
    </w:p>
    <w:p>
      <w:pPr>
        <w:numPr>
          <w:ilvl w:val="0"/>
          <w:numId w:val="2"/>
        </w:numPr>
      </w:pPr>
      <w:r>
        <w:t>variables affecting the bone mineral density measurement and</w:t>
      </w:r>
    </w:p>
    <w:p>
      <w:pPr>
        <w:numPr>
          <w:ilvl w:val="0"/>
          <w:numId w:val="2"/>
        </w:numPr>
      </w:pPr>
      <w:r>
        <w:t>how to select appropriate scan modes for the examination and the</w:t>
      </w:r>
    </w:p>
    <w:p>
      <w:pPr>
        <w:numPr>
          <w:ilvl w:val="0"/>
          <w:numId w:val="2"/>
        </w:numPr>
      </w:pPr>
      <w:r>
        <w:t>individual as appropriate</w:t>
      </w:r>
    </w:p>
    <w:p>
      <w:pPr>
        <w:numPr>
          <w:ilvl w:val="0"/>
          <w:numId w:val="2"/>
        </w:numPr>
      </w:pPr>
      <w:r>
        <w:t>accurate positioning of the individual relevant to the area of</w:t>
      </w:r>
    </w:p>
    <w:p>
      <w:pPr>
        <w:numPr>
          <w:ilvl w:val="0"/>
          <w:numId w:val="2"/>
        </w:numPr>
      </w:pPr>
      <w:r>
        <w:t>interest</w:t>
      </w:r>
    </w:p>
    <w:p>
      <w:pPr>
        <w:numPr>
          <w:ilvl w:val="0"/>
          <w:numId w:val="2"/>
        </w:numPr>
      </w:pPr>
      <w:r>
        <w:t>the technical quality requirements of the image for precise and</w:t>
      </w:r>
    </w:p>
    <w:p>
      <w:pPr>
        <w:numPr>
          <w:ilvl w:val="0"/>
          <w:numId w:val="2"/>
        </w:numPr>
      </w:pPr>
      <w:r>
        <w:t>reliable bone mineral density measurements</w:t>
      </w:r>
    </w:p>
    <w:p>
      <w:pPr>
        <w:numPr>
          <w:ilvl w:val="0"/>
          <w:numId w:val="2"/>
        </w:numPr>
      </w:pPr>
      <w:r>
        <w:t>the recognition of artefacts, their impact and appropriate actions</w:t>
      </w:r>
    </w:p>
    <w:p>
      <w:pPr>
        <w:numPr>
          <w:ilvl w:val="0"/>
          <w:numId w:val="2"/>
        </w:numPr>
      </w:pPr>
      <w:r>
        <w:t>to mitigate or limit the effects</w:t>
      </w:r>
    </w:p>
    <w:p>
      <w:pPr>
        <w:numPr>
          <w:ilvl w:val="0"/>
          <w:numId w:val="2"/>
        </w:numPr>
      </w:pPr>
      <w:r>
        <w:t>factors which influence the decision to rescan or take</w:t>
      </w:r>
    </w:p>
    <w:p>
      <w:pPr>
        <w:numPr>
          <w:ilvl w:val="0"/>
          <w:numId w:val="2"/>
        </w:numPr>
      </w:pPr>
      <w:r>
        <w:t>supplementary images in a different scan mode or with adjusted</w:t>
      </w:r>
    </w:p>
    <w:p>
      <w:pPr>
        <w:numPr>
          <w:ilvl w:val="0"/>
          <w:numId w:val="2"/>
        </w:numPr>
      </w:pPr>
      <w:r>
        <w:t>positioning to aid diagnosis</w:t>
      </w:r>
    </w:p>
    <w:p>
      <w:pPr>
        <w:numPr>
          <w:ilvl w:val="0"/>
          <w:numId w:val="2"/>
        </w:numPr>
      </w:pPr>
      <w:r>
        <w:t>the requirements for accurate scan analysis</w:t>
      </w:r>
    </w:p>
    <w:p>
      <w:pPr>
        <w:numPr>
          <w:ilvl w:val="0"/>
          <w:numId w:val="2"/>
        </w:numPr>
      </w:pPr>
      <w:r>
        <w:t>the use of reference data and the impact of the reference</w:t>
      </w:r>
    </w:p>
    <w:p>
      <w:pPr>
        <w:numPr>
          <w:ilvl w:val="0"/>
          <w:numId w:val="2"/>
        </w:numPr>
      </w:pPr>
      <w:r>
        <w:t>database selected on the scan results</w:t>
      </w:r>
    </w:p>
    <w:p>
      <w:pPr>
        <w:numPr>
          <w:ilvl w:val="0"/>
          <w:numId w:val="2"/>
        </w:numPr>
      </w:pPr>
      <w:r>
        <w:t>the principal of least significant change in relation to follow up</w:t>
      </w:r>
    </w:p>
    <w:p>
      <w:pPr>
        <w:numPr>
          <w:ilvl w:val="0"/>
          <w:numId w:val="2"/>
        </w:numPr>
      </w:pPr>
      <w:r>
        <w:t>scan interval and subsequent statistically significant change in</w:t>
      </w:r>
    </w:p>
    <w:p>
      <w:pPr>
        <w:numPr>
          <w:ilvl w:val="0"/>
          <w:numId w:val="2"/>
        </w:numPr>
      </w:pPr>
      <w:r>
        <w:t>bone mineral density</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procedures relating to recording, collating and preparing</w:t>
      </w:r>
    </w:p>
    <w:p>
      <w:pPr>
        <w:numPr>
          <w:ilvl w:val="0"/>
          <w:numId w:val="2"/>
        </w:numPr>
      </w:pPr>
      <w:r>
        <w:t>appropriate documentation, images and scan analysis for transfer</w:t>
      </w:r>
    </w:p>
    <w:p>
      <w:pPr>
        <w:numPr>
          <w:ilvl w:val="0"/>
          <w:numId w:val="2"/>
        </w:numPr>
      </w:pPr>
      <w:r>
        <w:t>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SFHCI.M</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SFHCI.M</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sfhci.m</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Dexa; Diagnostic; Clinical; Images; Bone; Density; Osteoporosis; Osteopenia; Sarcopenia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89D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8D68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8f678e023044a5" /><Relationship Type="http://schemas.openxmlformats.org/officeDocument/2006/relationships/numbering" Target="/word/numbering.xml" Id="Rad384397abf34183" /><Relationship Type="http://schemas.openxmlformats.org/officeDocument/2006/relationships/settings" Target="/word/settings.xml" Id="Rdb0c75fe2ec24ce3" /><Relationship Type="http://schemas.openxmlformats.org/officeDocument/2006/relationships/image" Target="/word/media/fd737391-2f01-4456-a67c-d383c43d3711.png" Id="Raaeeddddaf5d4ca9" /></Relationships>
</file>