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ecce32a9b844ee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PSSHM112</w:t>
            </w:r>
            <w:r>
              <w:rPr>
                <w:b/>
              </w:rPr>
              <w:br/>
            </w:r>
            <w:r>
              <w:rPr>
                <w:b/>
              </w:rPr>
              <w:t>Plan for and manage port emergencies and periods of disruption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f18f3dbdb834a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 required to plan for and manage port marine emergencies and periods of disruption.</w:t>
      </w:r>
    </w:p>
    <w:p>
      <w:pPr/>
      <w:r>
        <w:rPr>
          <w:lang w:val="en-GB"/>
        </w:rPr>
        <w:t>It includes determining potential navigational and non-navigational emergencies; the preparation, exercising and operation of a port emergency response plan; discharging responsibilities under civil contingencies legislation; contributing to business continuity; responding to a marine pollution incident.</w:t>
      </w:r>
    </w:p>
    <w:p>
      <w:pPr/>
      <w:r>
        <w:rPr>
          <w:lang w:val="en-GB"/>
        </w:rPr>
        <w:t>The role requires the interpretation and application of, and compliance with, relevant international and national regulations; local legislation, codes of practice, standards, frameworks and industry guidance.</w:t>
      </w:r>
    </w:p>
    <w:p>
      <w:pPr/>
      <w:r>
        <w:rPr>
          <w:lang w:val="en-GB"/>
        </w:rPr>
        <w:t>Target Group</w:t>
      </w:r>
    </w:p>
    <w:p>
      <w:pPr/>
      <w:r>
        <w:rPr>
          <w:lang w:val="en-GB"/>
        </w:rPr>
        <w:t>This standard applies to individuals who have a duty to facilitate the safe and efficient use of the harbour.  Typically, this will be the Harbour Master or Authorised Deputies with delegated powers.</w:t>
      </w:r>
    </w:p>
    <w:p>
      <w:pPr/>
      <w:r>
        <w:rPr>
          <w:lang w:val="en-GB"/>
        </w:rPr>
        <w:br/>
      </w:r>
    </w:p>
    <w:p>
      <w:pPr/>
      <w:r>
        <w:rPr>
          <w:lang w:val="en-GB"/>
        </w:rPr>
        <w:t xml:space="preserve">Note that in this NOS, unless otherwise specified, the term port may also mean harbour.  However, the term harbour does not necessarily mean port.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​international and national regulations; local legislation, codes of practice, standards, frameworks and industry guidance</w:t>
      </w:r>
    </w:p>
    <w:p>
      <w:pPr>
        <w:numPr>
          <w:ilvl w:val="0"/>
          <w:numId w:val="1"/>
        </w:numPr>
      </w:pPr>
      <w:r>
        <w:t>the extent and features of the physical environment for which the harbour master has responsibility and authority</w:t>
      </w:r>
    </w:p>
    <w:p>
      <w:pPr>
        <w:numPr>
          <w:ilvl w:val="0"/>
          <w:numId w:val="1"/>
        </w:numPr>
      </w:pPr>
      <w:r>
        <w:t>the port marine operations and activities typically undertaken in the physical environment for which the Harbour Master has responsibility and authority and/or which might impact on the safe and efficient use of the harbour</w:t>
      </w:r>
    </w:p>
    <w:p>
      <w:pPr>
        <w:numPr>
          <w:ilvl w:val="0"/>
          <w:numId w:val="1"/>
        </w:numPr>
      </w:pPr>
      <w:r>
        <w:t>current port marine regulations, guidance and codes relating to emergencies and pollution incidents</w:t>
      </w:r>
    </w:p>
    <w:p>
      <w:pPr>
        <w:numPr>
          <w:ilvl w:val="0"/>
          <w:numId w:val="1"/>
        </w:numPr>
      </w:pPr>
      <w:r>
        <w:t>potential port emergency and pollution incident:</w:t>
      </w:r>
    </w:p>
    <w:p>
      <w:pPr>
        <w:numPr>
          <w:ilvl w:val="1"/>
          <w:numId w:val="1"/>
        </w:numPr>
      </w:pPr>
      <w:r>
        <w:t>types</w:t>
      </w:r>
    </w:p>
    <w:p>
      <w:pPr>
        <w:numPr>
          <w:ilvl w:val="1"/>
          <w:numId w:val="1"/>
        </w:numPr>
      </w:pPr>
      <w:r>
        <w:t>severity categories </w:t>
      </w:r>
    </w:p>
    <w:p>
      <w:pPr>
        <w:numPr>
          <w:ilvl w:val="1"/>
          <w:numId w:val="1"/>
        </w:numPr>
      </w:pPr>
      <w:r>
        <w:t>likely consequences</w:t>
      </w:r>
    </w:p>
    <w:p>
      <w:pPr>
        <w:numPr>
          <w:ilvl w:val="0"/>
          <w:numId w:val="1"/>
        </w:numPr>
      </w:pPr>
      <w:r>
        <w:t>the types of port emergency or pollution incident control measures and their respective benefits/constraints</w:t>
      </w:r>
    </w:p>
    <w:p>
      <w:pPr>
        <w:numPr>
          <w:ilvl w:val="0"/>
          <w:numId w:val="1"/>
        </w:numPr>
      </w:pPr>
      <w:r>
        <w:t>how to assess the emergency/incident mitigation effects of control measures</w:t>
      </w:r>
    </w:p>
    <w:p>
      <w:pPr>
        <w:numPr>
          <w:ilvl w:val="0"/>
          <w:numId w:val="1"/>
        </w:numPr>
      </w:pPr>
      <w:r>
        <w:t>who the appropriate port emergency and pollution incident stakeholders are</w:t>
      </w:r>
    </w:p>
    <w:p>
      <w:pPr>
        <w:numPr>
          <w:ilvl w:val="0"/>
          <w:numId w:val="1"/>
        </w:numPr>
      </w:pPr>
      <w:r>
        <w:t>the powers and working practices of statutory and other organisations that may be concerned with responding to a port emergency or pollution incident</w:t>
      </w:r>
    </w:p>
    <w:p>
      <w:pPr>
        <w:numPr>
          <w:ilvl w:val="0"/>
          <w:numId w:val="1"/>
        </w:numPr>
      </w:pPr>
      <w:r>
        <w:t>the nature of the interaction between the port and statutory or other organisations, including the extent of the port’s obligation to cooperate on emergencies or pollution incidents</w:t>
      </w:r>
    </w:p>
    <w:p>
      <w:pPr>
        <w:numPr>
          <w:ilvl w:val="0"/>
          <w:numId w:val="1"/>
        </w:numPr>
      </w:pPr>
      <w:r>
        <w:t>how to develop effective relationships with statutory and other organisations that might be involved in an emergency or pollution incident</w:t>
      </w:r>
    </w:p>
    <w:p>
      <w:pPr>
        <w:numPr>
          <w:ilvl w:val="0"/>
          <w:numId w:val="1"/>
        </w:numPr>
      </w:pPr>
      <w:r>
        <w:t>how to design and run a response plan exercise </w:t>
      </w:r>
    </w:p>
    <w:p>
      <w:pPr>
        <w:numPr>
          <w:ilvl w:val="0"/>
          <w:numId w:val="1"/>
        </w:numPr>
      </w:pPr>
      <w:r>
        <w:t>how to manage media enquiries in the event of an incident</w:t>
      </w:r>
    </w:p>
    <w:p>
      <w:pPr>
        <w:numPr>
          <w:ilvl w:val="0"/>
          <w:numId w:val="1"/>
        </w:numPr>
      </w:pPr>
      <w:r>
        <w:t>Principles of business continuity planning and:</w:t>
      </w:r>
    </w:p>
    <w:p>
      <w:pPr>
        <w:numPr>
          <w:ilvl w:val="1"/>
          <w:numId w:val="1"/>
        </w:numPr>
      </w:pPr>
      <w:r>
        <w:t>which core operations, services and resources need to be sustained</w:t>
      </w:r>
    </w:p>
    <w:p>
      <w:pPr>
        <w:numPr>
          <w:ilvl w:val="1"/>
          <w:numId w:val="1"/>
        </w:numPr>
      </w:pPr>
      <w:r>
        <w:t>national business continuity guidance</w:t>
      </w:r>
    </w:p>
    <w:p>
      <w:pPr>
        <w:numPr>
          <w:ilvl w:val="1"/>
          <w:numId w:val="1"/>
        </w:numPr>
      </w:pPr>
      <w:r>
        <w:t>how to discharge responsibilities under civil contingencies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Port Skills &amp; Safety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Jul 2020</w:t>
      </w:r>
      <w:r>
        <w:rPr>
          <w:lang w:val="en-GB"/>
        </w:rPr>
        <w:br/>
      </w:r>
    </w:p>
    <w:p>
      <w:pPr/>
      <w:r>
        <w:rPr>
          <w:lang w:val="en-GB"/>
          <w:b/>
        </w:rPr>
        <w:t>Indicative Review Date</w:t>
      </w:r>
    </w:p>
    <w:p>
      <w:pPr/>
      <w:r>
        <w:rPr>
          <w:lang w:val="en-GB"/>
        </w:rPr>
        <w:t>31 Jul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Port Skills and Safety</w:t>
      </w:r>
      <w:r>
        <w:rPr>
          <w:lang w:val="en-GB"/>
        </w:rPr>
        <w:br/>
      </w:r>
    </w:p>
    <w:p>
      <w:pPr/>
      <w:r>
        <w:rPr>
          <w:lang w:val="en-GB"/>
          <w:b/>
        </w:rPr>
        <w:t>Original URN</w:t>
      </w:r>
    </w:p>
    <w:p>
      <w:pPr/>
      <w:r>
        <w:rPr>
          <w:lang w:val="en-GB"/>
        </w:rPr>
        <w:t>PSS HM112</w:t>
      </w:r>
      <w:r>
        <w:rPr>
          <w:lang w:val="en-GB"/>
        </w:rPr>
        <w:br/>
      </w:r>
    </w:p>
    <w:p>
      <w:pPr/>
      <w:r>
        <w:rPr>
          <w:lang w:val="en-GB"/>
          <w:b/>
        </w:rPr>
        <w:t>Relevant Occupations</w:t>
      </w:r>
    </w:p>
    <w:p>
      <w:pPr/>
      <w:r>
        <w:rPr>
          <w:lang w:val="en-GB"/>
        </w:rPr>
        <w:t>Harbour Masters, Harbour Masters and those with delegated Harbour Master powers</w:t>
      </w:r>
      <w:r>
        <w:rPr>
          <w:lang w:val="en-GB"/>
        </w:rPr>
        <w:br/>
      </w:r>
    </w:p>
    <w:p>
      <w:pPr/>
      <w:r>
        <w:rPr>
          <w:lang w:val="en-GB"/>
          <w:b/>
        </w:rPr>
        <w:t>Suite</w:t>
      </w:r>
    </w:p>
    <w:p>
      <w:pPr/>
      <w:r>
        <w:rPr>
          <w:lang w:val="en-GB"/>
        </w:rPr>
        <w:t>Harbour Masters</w:t>
      </w:r>
      <w:r>
        <w:rPr>
          <w:lang w:val="en-GB"/>
        </w:rPr>
        <w:br/>
      </w:r>
    </w:p>
    <w:p>
      <w:pPr/>
      <w:r>
        <w:rPr>
          <w:lang w:val="en-GB"/>
          <w:b/>
        </w:rPr>
        <w:t>Keywords</w:t>
      </w:r>
    </w:p>
    <w:p>
      <w:pPr/>
      <w:r>
        <w:rPr>
          <w:lang w:val="en-GB"/>
        </w:rPr>
        <w:t>safe and efficient use of the harbour, harbour, marine, port, harbour master, deputy harbour master, port marine emergency, marine emergency, navigation emergency response, civil contingency, business continuity, pollution, assistant harbour master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980CF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8144199fc3646bc" /><Relationship Type="http://schemas.openxmlformats.org/officeDocument/2006/relationships/numbering" Target="/word/numbering.xml" Id="Rda784dae29694589" /><Relationship Type="http://schemas.openxmlformats.org/officeDocument/2006/relationships/settings" Target="/word/settings.xml" Id="Rb5a393cf54344905" /><Relationship Type="http://schemas.openxmlformats.org/officeDocument/2006/relationships/image" Target="/word/media/346a2a51-56de-43b2-9b6f-f1b9f44dfd9a.png" Id="R2f18f3dbdb834a23" /></Relationships>
</file>