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f411e2577c748d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LANCS95</w:t>
            </w:r>
            <w:r>
              <w:rPr>
                <w:b/>
              </w:rPr>
              <w:br/>
            </w:r>
            <w:r>
              <w:rPr>
                <w:b/>
              </w:rPr>
              <w:t>Develop a wildfire management plan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500ba4b199049e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br/>
      </w:r>
    </w:p>
    <w:p>
      <w:pPr/>
      <w:r>
        <w:rPr>
          <w:lang w:val="en-GB"/>
        </w:rPr>
        <w:t xml:space="preserve">This standard is aimed at those who work in forestry, conservation, farming or game and wildlife management and have responsibility for managing wildfire incidents or prescribed fire operations. It relates to the activities that you undertake to develop a wildfire management plan, including scoping, survey, analysis, synthesis, implementation, monitoring and review. </w:t>
      </w:r>
    </w:p>
    <w:p>
      <w:pPr/>
      <w:r>
        <w:rPr>
          <w:lang w:val="en-GB"/>
        </w:rPr>
        <w:br/>
      </w:r>
    </w:p>
    <w:p>
      <w:pPr/>
      <w:r>
        <w:rPr>
          <w:lang w:val="en-GB"/>
        </w:rPr>
        <w:br/>
      </w:r>
    </w:p>
    <w:p>
      <w:pPr/>
      <w:r>
        <w:rPr>
          <w:lang w:val="en-GB"/>
        </w:rPr>
        <w:t xml:space="preserve">To meet this standard, you will be able to: </w:t>
      </w:r>
    </w:p>
    <w:p>
      <w:pPr/>
      <w:r>
        <w:rPr>
          <w:lang w:val="en-GB"/>
        </w:rPr>
        <w:br/>
      </w:r>
    </w:p>
    <w:p>
      <w:pPr/>
      <w:r>
        <w:rPr>
          <w:lang w:val="en-GB"/>
        </w:rPr>
        <w:t>•</w:t>
      </w:r>
    </w:p>
    <w:p>
      <w:pPr/>
      <w:r>
        <w:rPr>
          <w:lang w:val="en-GB"/>
        </w:rPr>
        <w:t xml:space="preserve">‍ </w:t>
      </w:r>
    </w:p>
    <w:p>
      <w:pPr/>
      <w:r>
        <w:rPr>
          <w:lang w:val="en-GB"/>
        </w:rPr>
        <w:t>gather and organise relevant information and evidence</w:t>
      </w:r>
    </w:p>
    <w:p>
      <w:pPr/>
      <w:r>
        <w:rPr>
          <w:lang w:val="en-GB"/>
        </w:rPr>
        <w:t>•</w:t>
      </w:r>
    </w:p>
    <w:p>
      <w:pPr/>
      <w:r>
        <w:rPr>
          <w:lang w:val="en-GB"/>
        </w:rPr>
        <w:t xml:space="preserve">‍ </w:t>
      </w:r>
    </w:p>
    <w:p>
      <w:pPr/>
      <w:r>
        <w:rPr>
          <w:lang w:val="en-GB"/>
        </w:rPr>
        <w:t>engage effectively with key stakeholders</w:t>
      </w:r>
    </w:p>
    <w:p>
      <w:pPr/>
      <w:r>
        <w:rPr>
          <w:lang w:val="en-GB"/>
        </w:rPr>
        <w:t>•</w:t>
      </w:r>
    </w:p>
    <w:p>
      <w:pPr/>
      <w:r>
        <w:rPr>
          <w:lang w:val="en-GB"/>
        </w:rPr>
        <w:t xml:space="preserve">‍ </w:t>
      </w:r>
    </w:p>
    <w:p>
      <w:pPr/>
      <w:r>
        <w:rPr>
          <w:lang w:val="en-GB"/>
        </w:rPr>
        <w:t>communicate and illustrate key information</w:t>
      </w:r>
    </w:p>
    <w:p>
      <w:pPr/>
      <w:r>
        <w:rPr>
          <w:lang w:val="en-GB"/>
        </w:rPr>
        <w:t>•</w:t>
      </w:r>
    </w:p>
    <w:p>
      <w:pPr/>
      <w:r>
        <w:rPr>
          <w:lang w:val="en-GB"/>
        </w:rPr>
        <w:t xml:space="preserve">‍ </w:t>
      </w:r>
    </w:p>
    <w:p>
      <w:pPr/>
      <w:r>
        <w:rPr>
          <w:lang w:val="en-GB"/>
        </w:rPr>
        <w:t>analyse and synthesise evidence into key tools to inform designing resilience and adapting management systems</w:t>
      </w:r>
    </w:p>
    <w:p>
      <w:pPr/>
      <w:r>
        <w:rPr>
          <w:lang w:val="en-GB"/>
        </w:rPr>
        <w:t>•</w:t>
      </w:r>
    </w:p>
    <w:p>
      <w:pPr/>
      <w:r>
        <w:rPr>
          <w:lang w:val="en-GB"/>
        </w:rPr>
        <w:t xml:space="preserve">‍ </w:t>
      </w:r>
    </w:p>
    <w:p>
      <w:pPr/>
      <w:r>
        <w:rPr>
          <w:lang w:val="en-GB"/>
        </w:rPr>
        <w:t>implement resilience features and management practices</w:t>
      </w:r>
    </w:p>
    <w:p>
      <w:pPr/>
      <w:r>
        <w:rPr>
          <w:lang w:val="en-GB"/>
        </w:rPr>
        <w:t>•</w:t>
      </w:r>
    </w:p>
    <w:p>
      <w:pPr/>
      <w:r>
        <w:rPr>
          <w:lang w:val="en-GB"/>
        </w:rPr>
        <w:t xml:space="preserve">‍ </w:t>
      </w:r>
    </w:p>
    <w:p>
      <w:pPr/>
      <w:r>
        <w:rPr>
          <w:lang w:val="en-GB"/>
        </w:rPr>
        <w:t xml:space="preserve">monitor and review a Wildfire Management Plan. </w:t>
      </w:r>
    </w:p>
    <w:p>
      <w:pPr/>
      <w:r>
        <w:rPr>
          <w:lang w:val="en-GB"/>
        </w:rPr>
        <w:br/>
      </w:r>
    </w:p>
    <w:p>
      <w:pPr/>
      <w:r>
        <w:rPr>
          <w:lang w:val="en-GB"/>
        </w:rPr>
        <w:br/>
      </w:r>
    </w:p>
    <w:p>
      <w:pPr/>
      <w:r>
        <w:rPr>
          <w:lang w:val="en-GB"/>
        </w:rPr>
        <w:t>Those carrying out vegetation fire suppression should be trained, and hold current certification where required, in accordance with nation-specific legislation.</w:t>
      </w:r>
    </w:p>
    <w:p>
      <w:pPr/>
      <w:r>
        <w:rPr>
          <w:lang w:val="en-GB"/>
        </w:rPr>
        <w:br/>
      </w:r>
    </w:p>
    <w:p>
      <w:pPr/>
      <w:r>
        <w:rPr>
          <w:lang w:val="en-GB"/>
        </w:rPr>
        <w:t>For you to fully understand the content of the standard, and the activities it describes, it is important that you are able to understand the terms used within the standard. See Glossary for some definitions that should help you with this.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b/>
        </w:rPr>
        <w:t>Developed by</w:t>
      </w:r>
    </w:p>
    <w:p>
      <w:pPr/>
      <w:r>
        <w:rPr>
          <w:lang w:val="en-GB"/>
        </w:rPr>
        <w:t>Lantra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LANCS95</w:t>
      </w:r>
      <w:r>
        <w:rPr>
          <w:lang w:val="en-GB"/>
        </w:rPr>
        <w:br/>
      </w:r>
    </w:p>
    <w:p>
      <w:pPr/>
      <w:r>
        <w:rPr>
          <w:lang w:val="en-GB"/>
          <w:b/>
        </w:rPr>
        <w:t>Relevant Occupations</w:t>
      </w:r>
    </w:p>
    <w:p>
      <w:pPr/>
      <w:r>
        <w:rPr>
          <w:lang w:val="en-GB"/>
        </w:rPr>
        <w:t>Forestry, Environmental Conservation, Estates Manager, Ranger, Game and Wildlife Manager</w:t>
      </w:r>
      <w:r>
        <w:rPr>
          <w:lang w:val="en-GB"/>
        </w:rPr>
        <w:br/>
      </w:r>
    </w:p>
    <w:p>
      <w:pPr/>
      <w:r>
        <w:rPr>
          <w:lang w:val="en-GB"/>
          <w:b/>
        </w:rPr>
        <w:t>Suite</w:t>
      </w:r>
    </w:p>
    <w:p>
      <w:pPr/>
      <w:r>
        <w:rPr>
          <w:lang w:val="en-GB"/>
        </w:rPr>
        <w:t>Incident Management in the Land-based Sector</w:t>
      </w:r>
      <w:r>
        <w:rPr>
          <w:lang w:val="en-GB"/>
        </w:rPr>
        <w:br/>
      </w:r>
    </w:p>
    <w:p>
      <w:pPr/>
      <w:r>
        <w:rPr>
          <w:lang w:val="en-GB"/>
          <w:b/>
        </w:rPr>
        <w:t>Keywords</w:t>
      </w:r>
    </w:p>
    <w:p>
      <w:pPr/>
      <w:r>
        <w:rPr>
          <w:lang w:val="en-GB"/>
        </w:rPr>
        <w:t>fire; forest; moorland; woodland; trees; vegetation; heather; heath; burn; wildfire; firefighting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963401d6b3b48e8" /><Relationship Type="http://schemas.openxmlformats.org/officeDocument/2006/relationships/numbering" Target="/word/numbering.xml" Id="Re08a5fcf22c0484f" /><Relationship Type="http://schemas.openxmlformats.org/officeDocument/2006/relationships/settings" Target="/word/settings.xml" Id="R49c34ca5dcfe4d27" /><Relationship Type="http://schemas.openxmlformats.org/officeDocument/2006/relationships/image" Target="/word/media/6fb67456-3595-425a-8359-423cf93f39c2.png" Id="R4500ba4b199049e7" /></Relationships>
</file>