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06401cb1014c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LANCS22</w:t>
            </w:r>
            <w:r>
              <w:rPr>
                <w:b/>
              </w:rPr>
              <w:br/>
            </w:r>
            <w:r>
              <w:rPr>
                <w:b/>
              </w:rPr>
              <w:t>Co-ordinate and oversee the construction and maintenance of land-based site infrastructure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9d27de61b749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covers co-ordinating and overseeing the construction and maintenance of land-based site infrastructure, which includes boundaries and access points, paths and surfaces, structures, site furniture and drainage.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require technical knowledge, understanding and skills in relation to construction, as well as installation and maintenance methods for all types of site infrastructure.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Those carrying out the work might include direct labour, contractors or volunteers.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Anyone working with power tools, machinery or the application of chemicals must be trained and hold current certification, where required, in line with the relevant legislation.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must carry out your work in a way that takes account of its impact on the environment.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suitable for those with responsibility for co-ordinating work to construct or maintain land-based site infrastructure.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Factors to consider could include: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usage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cost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lifespan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historic value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relationship with the landscape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regional character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geographical factors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climate/weather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Site restrictions or designations could include: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National Park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Site of Special Scientific Interest (SSSI)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Special Area of Conservation (SAC)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Special Protection Area (SPA),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Area of Outstanding Natural Beauty (AONB)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RAMSAR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National Nature Reserve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Marine Conservation Zone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World Heritage Site (WHS)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Archaeological site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Nitrogen Vulnerable Zone (NVZ)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Drinking Water Safeguard Zones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Scheduled Monument (SM)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Listed Building (LB)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Registered Parks and Gardens (RPGs)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Registered Battlefield (RB)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Sites identified on the Historic Environment Record (HER)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Public rights of way and access land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Military training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Work plans and specifications could include: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drawings/plans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site maps/aerial image assessment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schedules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method statements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Standard Operating Procedures (SOPs)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manufacturers’ guidelines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legal requirements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good practice guidelines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customer requirements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standard of outcome required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verbal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5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LANCS22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Access Officer, Conservation Officer, Estates Manager, Estate Worker, Gardener, Greenkeeper, Groundsman, Manager of Volunteers, Park Ranger, Property Manager, Ranger, Gamekeeper, Game and Wildlife Manager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Environmental Conservation Management, Game and Wildlife Management, Horticulture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site; structures; site furniture; boundaries; access points; stiles; gates; steps; ramps; paths; surfaces; drains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36376ad176404a" /><Relationship Type="http://schemas.openxmlformats.org/officeDocument/2006/relationships/numbering" Target="/word/numbering.xml" Id="R041ca3c4942949d5" /><Relationship Type="http://schemas.openxmlformats.org/officeDocument/2006/relationships/settings" Target="/word/settings.xml" Id="R91ecb8ac55e24286" /><Relationship Type="http://schemas.openxmlformats.org/officeDocument/2006/relationships/image" Target="/word/media/91ca2af8-ae0f-48f5-80ef-b423d3008ddf.png" Id="R939d27de61b74921" /></Relationships>
</file>