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20c5fa9234c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SFHCHS36</w:t>
            </w:r>
            <w:r>
              <w:rPr>
                <w:b/>
              </w:rPr>
              <w:br/>
            </w:r>
            <w:r>
              <w:rPr>
                <w:b/>
              </w:rPr>
              <w:t>Provide Basic Life Support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9701a0b0fd49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for and providing basic life support.</w:t>
      </w:r>
    </w:p>
    <w:p>
      <w:pPr/>
      <w:r>
        <w:rPr>
          <w:lang w:val="en-GB"/>
        </w:rPr>
        <w:t>Users of this standard will need to ensure their practice reflects up to date information and policies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assess and promptly confirm that the individual’s circulation and breathing has stopped and establish the need for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summon help immediately in accordance with guidelines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assess and confirm that environmental factors are safe for the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use the correct technique for opening the individual’s airway including removing obstruction causing choking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assess breathing to confirm if individual is not breathing or has abnormal breathing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administer oxygen safely if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perform external chest compressions and/or ventilation safely and effectively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 firm base to facilitate external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compression is applied on the correct site of the individual’s chest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comply with the correct depth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comply with the correct rate of chest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the appropriate ratio is used when alternating compressions with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an Automated External Defibrillator when cardiac arrest is suspected, following the instructions given by the Automated External Defibrillator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monitor the effectiveness of compressions and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continue ventilation and compressions until: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the individual shows signs of life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individual is handed over to the care of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a recovered individual in a stable condition that allows for continued monitoring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accurately and clearly report the actions you have taken, and the duration, when handing over to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reinstate equipment to working status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basic life support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hazards and risks which may arise and how to manage these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importance of seeking immediate help to maximise an individual’s chance of survival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the different techniques for ensuring an open airway and when these would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anatomy of the respiratory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priorities in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action to take and the different methods used in the event of foreign body airway obstruction in children, young people and adults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different techniques used to ventilate an individual and when each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ventilation ratio and rate for different individual’s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a firm base is needed for chest compressions, and what action to take when one is not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correct site and hand/finger placement for applying external chest compression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rate and depth of compressions needed for different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methods of chest thrusts and back slaps to use in the cases of children, young people and adults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purpose of the Automated External Defibrillator and importance of following the instructions for using the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safety requirements for self and others when operating an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observations to be carried out to identify adequate oxygenation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when to cease application of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the placement of the recovered individual including the specific positioning needs of pregnant women in the third trimester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information required when handing over to the care of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methods used to reinstate equipment to working status after use in line with relevant guidelines, protocols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need for emotional support of others or self-care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where and how to access support for self and others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completely and safely store all relevant documentation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Basic; Life; Support; BLS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02ba2e2f474db7" /><Relationship Type="http://schemas.openxmlformats.org/officeDocument/2006/relationships/numbering" Target="/word/numbering.xml" Id="Rfa51839f3e28435c" /><Relationship Type="http://schemas.openxmlformats.org/officeDocument/2006/relationships/settings" Target="/word/settings.xml" Id="R460e6aa13ff4474f" /><Relationship Type="http://schemas.openxmlformats.org/officeDocument/2006/relationships/image" Target="/word/media/9f88cc61-83af-4a93-ad13-c8b39bab1787.png" Id="Rf49701a0b0fd4979" /></Relationships>
</file>