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31177ef1a42457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LSIAG17</w:t>
            </w:r>
            <w:r>
              <w:rPr>
                <w:b/>
              </w:rPr>
              <w:br/>
            </w:r>
            <w:r>
              <w:rPr>
                <w:b/>
              </w:rPr>
              <w:t>Provide support for practitioners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4e44a534d864cc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support for practitioners. It is aimed at people who provide advice and guidance to clients who use services such as public services, education and training, health services and those provided by  community social welfare advice providers and others.</w:t>
      </w:r>
    </w:p>
    <w:p>
      <w:pPr/>
      <w:r>
        <w:rPr>
          <w:lang w:val="en-GB"/>
        </w:rPr>
        <w:t>The standard is about agreeing to support other practitioners, promoting the effective practice of practitioners and how to deliver support sessions to them.</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all relevant legal, professional, and organisational policies, procedures and guidelines when providing support for practitioners</w:t>
      </w:r>
    </w:p>
    <w:p>
      <w:pPr>
        <w:numPr>
          <w:ilvl w:val="0"/>
          <w:numId w:val="1"/>
        </w:numPr>
      </w:pPr>
      <w:r>
        <w:t>explore purpose and boundaries of support for practitioners</w:t>
      </w:r>
    </w:p>
    <w:p>
      <w:pPr>
        <w:numPr>
          <w:ilvl w:val="0"/>
          <w:numId w:val="1"/>
        </w:numPr>
      </w:pPr>
      <w:r>
        <w:t>check that supervision of specific practitioners is appropriate</w:t>
      </w:r>
    </w:p>
    <w:p>
      <w:pPr>
        <w:numPr>
          <w:ilvl w:val="0"/>
          <w:numId w:val="1"/>
        </w:numPr>
      </w:pPr>
      <w:r>
        <w:t>review methods for providing support to practitioners</w:t>
      </w:r>
    </w:p>
    <w:p>
      <w:pPr>
        <w:numPr>
          <w:ilvl w:val="0"/>
          <w:numId w:val="1"/>
        </w:numPr>
      </w:pPr>
      <w:r>
        <w:t>identify potential improvements in professional practice that could be made during support sessions</w:t>
      </w:r>
    </w:p>
    <w:p>
      <w:pPr>
        <w:numPr>
          <w:ilvl w:val="0"/>
          <w:numId w:val="1"/>
        </w:numPr>
      </w:pPr>
      <w:r>
        <w:t>identify constraints and issues to be covered in support sessions</w:t>
      </w:r>
    </w:p>
    <w:p>
      <w:pPr>
        <w:numPr>
          <w:ilvl w:val="0"/>
          <w:numId w:val="1"/>
        </w:numPr>
      </w:pPr>
      <w:r>
        <w:t>agree procedures and limits relating to exchange of information and confidentiality adhering to data protection regulations</w:t>
      </w:r>
    </w:p>
    <w:p>
      <w:pPr>
        <w:numPr>
          <w:ilvl w:val="0"/>
          <w:numId w:val="1"/>
        </w:numPr>
      </w:pPr>
      <w:r>
        <w:t>clarify options for resolving issues relating to support of practitioners</w:t>
      </w:r>
    </w:p>
    <w:p>
      <w:pPr>
        <w:numPr>
          <w:ilvl w:val="0"/>
          <w:numId w:val="1"/>
        </w:numPr>
      </w:pPr>
      <w:r>
        <w:t>agree support arrangements with practitioners in line with their needs</w:t>
      </w:r>
    </w:p>
    <w:p>
      <w:pPr>
        <w:numPr>
          <w:ilvl w:val="0"/>
          <w:numId w:val="1"/>
        </w:numPr>
      </w:pPr>
      <w:r>
        <w:t>agree when to review support with practitioners</w:t>
      </w:r>
    </w:p>
    <w:p>
      <w:pPr>
        <w:numPr>
          <w:ilvl w:val="0"/>
          <w:numId w:val="1"/>
        </w:numPr>
      </w:pPr>
      <w:r>
        <w:t>assist practitioners to identify and work within the limits of their competence</w:t>
      </w:r>
    </w:p>
    <w:p>
      <w:pPr>
        <w:numPr>
          <w:ilvl w:val="0"/>
          <w:numId w:val="1"/>
        </w:numPr>
      </w:pPr>
      <w:r>
        <w:t>support practitioners and services to monitor the effectiveness of work with clients</w:t>
      </w:r>
    </w:p>
    <w:p>
      <w:pPr>
        <w:numPr>
          <w:ilvl w:val="0"/>
          <w:numId w:val="1"/>
        </w:numPr>
      </w:pPr>
      <w:r>
        <w:t>intervene, when necessary, in order to maintain practitioners’ effectiveness in line with organisational requirements</w:t>
      </w:r>
    </w:p>
    <w:p>
      <w:pPr>
        <w:numPr>
          <w:ilvl w:val="0"/>
          <w:numId w:val="1"/>
        </w:numPr>
      </w:pPr>
      <w:r>
        <w:t>provide practitioners with regular constructive and supportive  feedback on their performance</w:t>
      </w:r>
    </w:p>
    <w:p>
      <w:pPr>
        <w:numPr>
          <w:ilvl w:val="0"/>
          <w:numId w:val="1"/>
        </w:numPr>
      </w:pPr>
      <w:r>
        <w:t>take action to resolve issues identified and support practitioners  to manage any tensions between work and personal issues in line with their needs</w:t>
      </w:r>
    </w:p>
    <w:p>
      <w:pPr>
        <w:numPr>
          <w:ilvl w:val="0"/>
          <w:numId w:val="1"/>
        </w:numPr>
      </w:pPr>
      <w:r>
        <w:t>support practitioners to reflect on their practice and issues that affect their practice in line with their needs</w:t>
      </w:r>
    </w:p>
    <w:p>
      <w:pPr>
        <w:numPr>
          <w:ilvl w:val="0"/>
          <w:numId w:val="1"/>
        </w:numPr>
      </w:pPr>
      <w:r>
        <w:t>help practitioners to identify specific requirements for support or development in line with their needs</w:t>
      </w:r>
    </w:p>
    <w:p>
      <w:pPr>
        <w:numPr>
          <w:ilvl w:val="0"/>
          <w:numId w:val="1"/>
        </w:numPr>
      </w:pPr>
      <w:r>
        <w:t>record support agreements and session outcomes in line with organisational and legal requirements and professional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organisational policies and procedures in relation to providing support for practitioners</w:t>
      </w:r>
    </w:p>
    <w:p>
      <w:pPr>
        <w:numPr>
          <w:ilvl w:val="0"/>
          <w:numId w:val="2"/>
        </w:numPr>
      </w:pPr>
      <w:r>
        <w:t>the importance of complying with relevant legal, professional and organisational requirements, policies, procedures and guidelines</w:t>
      </w:r>
    </w:p>
    <w:p>
      <w:pPr>
        <w:numPr>
          <w:ilvl w:val="0"/>
          <w:numId w:val="2"/>
        </w:numPr>
      </w:pPr>
      <w:r>
        <w:t>the adaptation of communication styles to suit the needs of practitioners</w:t>
      </w:r>
    </w:p>
    <w:p>
      <w:pPr>
        <w:numPr>
          <w:ilvl w:val="0"/>
          <w:numId w:val="2"/>
        </w:numPr>
      </w:pPr>
      <w:r>
        <w:t>the types of support available to practitioners, the purpose and boundaries of each, and who should receive support and when</w:t>
      </w:r>
    </w:p>
    <w:p>
      <w:pPr>
        <w:numPr>
          <w:ilvl w:val="0"/>
          <w:numId w:val="2"/>
        </w:numPr>
      </w:pPr>
      <w:r>
        <w:t>methods available for providing support, how to review their effectiveness, and when support should be reviewed</w:t>
      </w:r>
    </w:p>
    <w:p>
      <w:pPr>
        <w:numPr>
          <w:ilvl w:val="0"/>
          <w:numId w:val="2"/>
        </w:numPr>
      </w:pPr>
      <w:r>
        <w:t>options for resolving issues and their relative effectiveness</w:t>
      </w:r>
    </w:p>
    <w:p>
      <w:pPr>
        <w:numPr>
          <w:ilvl w:val="0"/>
          <w:numId w:val="2"/>
        </w:numPr>
      </w:pPr>
      <w:r>
        <w:t>how to reach agreements with practitioners</w:t>
      </w:r>
    </w:p>
    <w:p>
      <w:pPr>
        <w:numPr>
          <w:ilvl w:val="0"/>
          <w:numId w:val="2"/>
        </w:numPr>
      </w:pPr>
      <w:r>
        <w:t>limits of practitioners’ competence and authority</w:t>
      </w:r>
    </w:p>
    <w:p>
      <w:pPr>
        <w:numPr>
          <w:ilvl w:val="0"/>
          <w:numId w:val="2"/>
        </w:numPr>
      </w:pPr>
      <w:r>
        <w:t>your role and responsibilities and that of others</w:t>
      </w:r>
    </w:p>
    <w:p>
      <w:pPr>
        <w:numPr>
          <w:ilvl w:val="0"/>
          <w:numId w:val="2"/>
        </w:numPr>
      </w:pPr>
      <w:r>
        <w:t>how practitioners monitor work with clients and the criteria used to measure their effectiveness</w:t>
      </w:r>
    </w:p>
    <w:p>
      <w:pPr>
        <w:numPr>
          <w:ilvl w:val="0"/>
          <w:numId w:val="2"/>
        </w:numPr>
      </w:pPr>
      <w:r>
        <w:t>when to intervene to maintain practitioner effectiveness and how to intervene</w:t>
      </w:r>
    </w:p>
    <w:p>
      <w:pPr>
        <w:numPr>
          <w:ilvl w:val="0"/>
          <w:numId w:val="2"/>
        </w:numPr>
      </w:pPr>
      <w:r>
        <w:t>how to provide constructive and supportive feedback</w:t>
      </w:r>
    </w:p>
    <w:p>
      <w:pPr>
        <w:numPr>
          <w:ilvl w:val="0"/>
          <w:numId w:val="2"/>
        </w:numPr>
      </w:pPr>
      <w:r>
        <w:t>tensions that can arise between work and personal issues and your responsibilities in supporting practitioner wellbeing</w:t>
      </w:r>
    </w:p>
    <w:p>
      <w:pPr>
        <w:numPr>
          <w:ilvl w:val="0"/>
          <w:numId w:val="2"/>
        </w:numPr>
      </w:pPr>
      <w:r>
        <w:t>issues requiring immediate attention and actions to take to resolve issues</w:t>
      </w:r>
    </w:p>
    <w:p>
      <w:pPr>
        <w:numPr>
          <w:ilvl w:val="0"/>
          <w:numId w:val="2"/>
        </w:numPr>
      </w:pPr>
      <w:r>
        <w:t>how to obtain information on requirements</w:t>
      </w:r>
    </w:p>
    <w:p>
      <w:pPr>
        <w:numPr>
          <w:ilvl w:val="0"/>
          <w:numId w:val="2"/>
        </w:numPr>
      </w:pPr>
      <w:r>
        <w:t>constraints that could affect support sessions</w:t>
      </w:r>
    </w:p>
    <w:p>
      <w:pPr>
        <w:numPr>
          <w:ilvl w:val="0"/>
          <w:numId w:val="2"/>
        </w:numPr>
      </w:pPr>
      <w:r>
        <w:t>issues that should be covered in support sessions</w:t>
      </w:r>
    </w:p>
    <w:p>
      <w:pPr>
        <w:numPr>
          <w:ilvl w:val="0"/>
          <w:numId w:val="2"/>
        </w:numPr>
      </w:pPr>
      <w:r>
        <w:t>how practitioners can reflect on their practice and the importance of them doing so</w:t>
      </w:r>
    </w:p>
    <w:p>
      <w:pPr>
        <w:numPr>
          <w:ilvl w:val="0"/>
          <w:numId w:val="2"/>
        </w:numPr>
      </w:pPr>
      <w:r>
        <w:t>how to assess the effectiveness of practitioners work and identify areas for development</w:t>
      </w:r>
    </w:p>
    <w:p>
      <w:pPr>
        <w:numPr>
          <w:ilvl w:val="0"/>
          <w:numId w:val="2"/>
        </w:numPr>
      </w:pPr>
      <w:r>
        <w:t>specific support requirements for practitioners and available options for meeting requirements</w:t>
      </w:r>
    </w:p>
    <w:p>
      <w:pPr>
        <w:numPr>
          <w:ilvl w:val="0"/>
          <w:numId w:val="2"/>
        </w:numPr>
      </w:pPr>
      <w:r>
        <w:t>how to offer the appropriate support to practitioners and when to review support sessions</w:t>
      </w:r>
    </w:p>
    <w:p>
      <w:pPr>
        <w:numPr>
          <w:ilvl w:val="0"/>
          <w:numId w:val="2"/>
        </w:numPr>
      </w:pPr>
      <w:r>
        <w:t>improvements that could be made to support sessions</w:t>
      </w:r>
    </w:p>
    <w:p>
      <w:pPr>
        <w:numPr>
          <w:ilvl w:val="0"/>
          <w:numId w:val="2"/>
        </w:numPr>
      </w:pPr>
      <w:r>
        <w:t>organisational and legal recording requirements, including how to store recorded information securely</w:t>
      </w:r>
    </w:p>
    <w:p>
      <w:pPr>
        <w:numPr>
          <w:ilvl w:val="0"/>
          <w:numId w:val="2"/>
        </w:numPr>
      </w:pPr>
      <w:r>
        <w:t>workplace requirements on equity, equality, diversity and inclusion.</w:t>
      </w:r>
    </w:p>
    <w:p>
      <w:pPr>
        <w:numPr>
          <w:ilvl w:val="0"/>
          <w:numId w:val="2"/>
        </w:numPr>
      </w:pPr>
      <w:r>
        <w:t>trauma informed principles and safeguarding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2026</w:t>
      </w:r>
      <w:r>
        <w:rPr>
          <w:lang w:val="en-GB"/>
        </w:rPr>
        <w:br/>
      </w:r>
    </w:p>
    <w:p>
      <w:pPr/>
      <w:r>
        <w:rPr>
          <w:lang w:val="en-GB"/>
          <w:b/>
        </w:rPr>
        <w:t>Indicative Review Date</w:t>
      </w:r>
    </w:p>
    <w:p>
      <w:pPr/>
      <w:r>
        <w:rPr>
          <w:lang w:val="en-GB"/>
        </w:rPr>
        <w:t>11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LSIAG17</w:t>
      </w:r>
      <w:r>
        <w:rPr>
          <w:lang w:val="en-GB"/>
        </w:rPr>
        <w:br/>
      </w:r>
    </w:p>
    <w:p>
      <w:pPr/>
      <w:r>
        <w:rPr>
          <w:lang w:val="en-GB"/>
          <w:b/>
        </w:rPr>
        <w:t>Relevant Occupations</w:t>
      </w:r>
    </w:p>
    <w:p>
      <w:pPr/>
      <w:r>
        <w:rPr>
          <w:lang w:val="en-GB"/>
        </w:rPr>
        <w:t>Education and Training, Health, Public Services and Care, Housing Advisors, Public Service Professionals</w:t>
      </w:r>
      <w:r>
        <w:rPr>
          <w:lang w:val="en-GB"/>
        </w:rPr>
        <w:br/>
      </w:r>
    </w:p>
    <w:p>
      <w:pPr/>
      <w:r>
        <w:rPr>
          <w:lang w:val="en-GB"/>
          <w:b/>
        </w:rPr>
        <w:t>Suite</w:t>
      </w:r>
    </w:p>
    <w:p>
      <w:pPr/>
      <w:r>
        <w:rPr>
          <w:lang w:val="en-GB"/>
        </w:rPr>
        <w:t>Advice and Guidance</w:t>
      </w:r>
      <w:r>
        <w:rPr>
          <w:lang w:val="en-GB"/>
        </w:rPr>
        <w:br/>
      </w:r>
    </w:p>
    <w:p>
      <w:pPr/>
      <w:r>
        <w:rPr>
          <w:lang w:val="en-GB"/>
          <w:b/>
        </w:rPr>
        <w:t>Keywords</w:t>
      </w:r>
    </w:p>
    <w:p>
      <w:pPr/>
      <w:r>
        <w:rPr>
          <w:lang w:val="en-GB"/>
        </w:rPr>
        <w:t>support; colleagues; help; supervision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18F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C02AA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1ac2ea2a1e646aa" /><Relationship Type="http://schemas.openxmlformats.org/officeDocument/2006/relationships/numbering" Target="/word/numbering.xml" Id="Rc335eb50738440c9" /><Relationship Type="http://schemas.openxmlformats.org/officeDocument/2006/relationships/settings" Target="/word/settings.xml" Id="Rba9659be52334601" /><Relationship Type="http://schemas.openxmlformats.org/officeDocument/2006/relationships/image" Target="/word/media/6f481d37-5020-4bbc-8c44-7844653bed84.png" Id="Rd4e44a534d864ccc" /></Relationships>
</file>