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ba09ef649d43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HSCCLD322</w:t>
            </w:r>
            <w:r>
              <w:rPr>
                <w:b/>
              </w:rPr>
              <w:br/>
            </w:r>
            <w:r>
              <w:rPr>
                <w:b/>
              </w:rPr>
              <w:t>Work with individuals to move into new living environments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3c8b1698244b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supporting individuals to move into new living environments. This includes preparing individuals to move, supporting them to settle in and then working with them to review the impact of their new environment on their wellbeing.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partnership with individuals and others to identify their preferences and needs on moving into new living environments</w:t>
      </w:r>
    </w:p>
    <w:p>
      <w:pPr>
        <w:numPr>
          <w:ilvl w:val="0"/>
          <w:numId w:val="1"/>
        </w:numPr>
      </w:pPr>
      <w:r>
        <w:t>support and encourage individuals and others to access information on new living environments  </w:t>
      </w:r>
    </w:p>
    <w:p>
      <w:pPr>
        <w:numPr>
          <w:ilvl w:val="0"/>
          <w:numId w:val="1"/>
        </w:numPr>
      </w:pPr>
      <w:r>
        <w:t>work in partnership with individuals and others to plan the move into new living environments </w:t>
      </w:r>
    </w:p>
    <w:p>
      <w:pPr>
        <w:numPr>
          <w:ilvl w:val="0"/>
          <w:numId w:val="1"/>
        </w:numPr>
      </w:pPr>
      <w:r>
        <w:t>encourage individuals and others to identify challenges when moving into new living environments, and address these</w:t>
      </w:r>
    </w:p>
    <w:p>
      <w:pPr>
        <w:numPr>
          <w:ilvl w:val="0"/>
          <w:numId w:val="1"/>
        </w:numPr>
      </w:pPr>
      <w:r>
        <w:t>support individuals to identify strengths and available resources to help them move into new living environments</w:t>
      </w:r>
    </w:p>
    <w:p>
      <w:pPr>
        <w:numPr>
          <w:ilvl w:val="0"/>
          <w:numId w:val="1"/>
        </w:numPr>
      </w:pPr>
      <w:r>
        <w:t>support individuals and others to visit new living environments and ask questions </w:t>
      </w:r>
    </w:p>
    <w:p>
      <w:pPr>
        <w:numPr>
          <w:ilvl w:val="0"/>
          <w:numId w:val="1"/>
        </w:numPr>
      </w:pPr>
      <w:r>
        <w:t>work in partnership with individuals and others to access resources required for new living environments </w:t>
      </w:r>
    </w:p>
    <w:p>
      <w:pPr>
        <w:numPr>
          <w:ilvl w:val="0"/>
          <w:numId w:val="1"/>
        </w:numPr>
      </w:pPr>
      <w:r>
        <w:t>promote and encourage the independence of individuals to settle into new environments </w:t>
      </w:r>
    </w:p>
    <w:p>
      <w:pPr>
        <w:numPr>
          <w:ilvl w:val="0"/>
          <w:numId w:val="1"/>
        </w:numPr>
      </w:pPr>
      <w:r>
        <w:t>work in partnership with individuals and others to feedback on how the new living environment has met their preferences and needs, identify any changes and address these </w:t>
      </w:r>
    </w:p>
    <w:p>
      <w:pPr>
        <w:numPr>
          <w:ilvl w:val="0"/>
          <w:numId w:val="1"/>
        </w:numPr>
      </w:pPr>
      <w:r>
        <w:t>complete records and reports required for working with individuals to move into new living environment </w:t>
      </w:r>
    </w:p>
    <w:p>
      <w:pPr>
        <w:numPr>
          <w:ilvl w:val="0"/>
          <w:numId w:val="1"/>
        </w:numPr>
      </w:pPr>
      <w:r>
        <w:t>reflect on how you carried out your role and responsibilities to work with individuals to move into new living environments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why individuals move to new living environments</w:t>
      </w:r>
    </w:p>
    <w:p>
      <w:pPr>
        <w:numPr>
          <w:ilvl w:val="0"/>
          <w:numId w:val="2"/>
        </w:numPr>
      </w:pPr>
      <w:r>
        <w:t>types of new living environments individuals may move to and how these are accessed</w:t>
      </w:r>
    </w:p>
    <w:p>
      <w:pPr>
        <w:numPr>
          <w:ilvl w:val="0"/>
          <w:numId w:val="2"/>
        </w:numPr>
      </w:pPr>
      <w:r>
        <w:t>the principles of transition and change and how to support individuals with this</w:t>
      </w:r>
    </w:p>
    <w:p>
      <w:pPr>
        <w:numPr>
          <w:ilvl w:val="0"/>
          <w:numId w:val="2"/>
        </w:numPr>
      </w:pPr>
      <w:r>
        <w:t>how to apply trauma informed principles to support individuals to move into new living environments  </w:t>
      </w:r>
    </w:p>
    <w:p>
      <w:pPr>
        <w:numPr>
          <w:ilvl w:val="0"/>
          <w:numId w:val="2"/>
        </w:numPr>
      </w:pPr>
      <w:r>
        <w:t>the types of resources individuals may require for new living environments</w:t>
      </w:r>
    </w:p>
    <w:p>
      <w:pPr>
        <w:numPr>
          <w:ilvl w:val="0"/>
          <w:numId w:val="2"/>
        </w:numPr>
      </w:pPr>
      <w:r>
        <w:t>ways to support individuals to settle in new living environments</w:t>
      </w:r>
    </w:p>
    <w:p>
      <w:pPr>
        <w:numPr>
          <w:ilvl w:val="0"/>
          <w:numId w:val="2"/>
        </w:numPr>
      </w:pPr>
      <w:r>
        <w:t>the importance of dignity, kindness and compassion in supporting individuals to move into a new living environment </w:t>
      </w:r>
    </w:p>
    <w:p>
      <w:pPr>
        <w:numPr>
          <w:ilvl w:val="0"/>
          <w:numId w:val="2"/>
        </w:numPr>
      </w:pPr>
      <w:r>
        <w:t>how to support emotional regulation when moving into a new living environment </w:t>
      </w:r>
    </w:p>
    <w:p>
      <w:pPr>
        <w:numPr>
          <w:ilvl w:val="0"/>
          <w:numId w:val="2"/>
        </w:numPr>
      </w:pPr>
      <w:r>
        <w:t>how power and influence can be used and misused when supporting individuals to move and settle into new living environments </w:t>
      </w:r>
    </w:p>
    <w:p>
      <w:pPr>
        <w:numPr>
          <w:ilvl w:val="0"/>
          <w:numId w:val="2"/>
        </w:numPr>
      </w:pPr>
      <w:r>
        <w:t>the role of relationships and support networks on the wellbeing of individuals</w:t>
      </w:r>
    </w:p>
    <w:p>
      <w:pPr>
        <w:numPr>
          <w:ilvl w:val="0"/>
          <w:numId w:val="2"/>
        </w:numPr>
      </w:pPr>
      <w:r>
        <w:t>the influence of neurodivergence and additional needs on the support required to move into new living environments </w:t>
      </w:r>
    </w:p>
    <w:p>
      <w:pPr>
        <w:numPr>
          <w:ilvl w:val="0"/>
          <w:numId w:val="2"/>
        </w:numPr>
      </w:pPr>
      <w:r>
        <w:t>the influence of culture and background on the support required to move into new living environments</w:t>
      </w:r>
    </w:p>
    <w:p>
      <w:pPr>
        <w:numPr>
          <w:ilvl w:val="0"/>
          <w:numId w:val="2"/>
        </w:numPr>
      </w:pPr>
      <w:r>
        <w:t>how to access, review and evaluate information about new living environments </w:t>
      </w:r>
    </w:p>
    <w:p>
      <w:pPr>
        <w:numPr>
          <w:ilvl w:val="0"/>
          <w:numId w:val="2"/>
        </w:numPr>
      </w:pPr>
      <w:r>
        <w:t>how to use digital tools and devices to access information, move and settle into new living environments</w:t>
      </w:r>
    </w:p>
    <w:p>
      <w:pPr>
        <w:numPr>
          <w:ilvl w:val="0"/>
          <w:numId w:val="2"/>
        </w:numPr>
      </w:pPr>
      <w:r>
        <w:t>the records and reports required for working with individuals to move into new living environments</w:t>
      </w:r>
    </w:p>
    <w:p>
      <w:pPr>
        <w:numPr>
          <w:ilvl w:val="0"/>
          <w:numId w:val="2"/>
        </w:numPr>
      </w:pPr>
      <w:r>
        <w:t>theories relevant to working with individuals to move into new living environments</w:t>
      </w:r>
    </w:p>
    <w:p>
      <w:pPr>
        <w:numPr>
          <w:ilvl w:val="0"/>
          <w:numId w:val="2"/>
        </w:numPr>
      </w:pPr>
      <w:r>
        <w:t>the relevant legal requirements, standards of practice, frameworks and guidance for working with individuals to move into new living environments</w:t>
      </w:r>
    </w:p>
    <w:p>
      <w:pPr>
        <w:numPr>
          <w:ilvl w:val="0"/>
          <w:numId w:val="2"/>
        </w:numPr>
      </w:pPr>
      <w:r>
        <w:t>the workplace requirements on equality, diversity, inclusion, and rights when working with individuals to move into new living environments </w:t>
      </w:r>
    </w:p>
    <w:p>
      <w:pPr>
        <w:numPr>
          <w:ilvl w:val="0"/>
          <w:numId w:val="2"/>
        </w:numPr>
      </w:pPr>
      <w:r>
        <w:t>how to work in partnership with others to support individuals to move into new living environments</w:t>
      </w:r>
    </w:p>
    <w:p>
      <w:pPr>
        <w:numPr>
          <w:ilvl w:val="0"/>
          <w:numId w:val="2"/>
        </w:numPr>
      </w:pPr>
      <w:r>
        <w:t>how your personal experiences and unconscious bias may impact when working with individuals to move into new living environments, and how to address this  </w:t>
      </w:r>
    </w:p>
    <w:p>
      <w:pPr>
        <w:numPr>
          <w:ilvl w:val="0"/>
          <w:numId w:val="2"/>
        </w:numPr>
      </w:pPr>
      <w:r>
        <w:t>the role of supervision, reflective practice and learning and development in working with individuals to move into new living environments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HSCCLD322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Move into new living environments,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FD4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8418D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750d52dbe224e60" /><Relationship Type="http://schemas.openxmlformats.org/officeDocument/2006/relationships/numbering" Target="/word/numbering.xml" Id="R6c8d4fb91987403e" /><Relationship Type="http://schemas.openxmlformats.org/officeDocument/2006/relationships/settings" Target="/word/settings.xml" Id="R1076f99b5a3a47dc" /><Relationship Type="http://schemas.openxmlformats.org/officeDocument/2006/relationships/image" Target="/word/media/5f423af7-4da2-402d-a244-d6399c3556f6.png" Id="Rfc3c8b1698244b5a" /></Relationships>
</file>