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44c9fb1075845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SFJGA7</w:t>
            </w:r>
            <w:r>
              <w:rPr>
                <w:b/>
              </w:rPr>
              <w:br/>
            </w:r>
            <w:r>
              <w:rPr>
                <w:b/>
              </w:rPr>
              <w:t>Communicate and engage with children, young people, their families or carers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c73fc6fc6c845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and engaging with children, young people and their families or carers to collaborate with them to inform design of service delivery.</w:t>
      </w:r>
    </w:p>
    <w:p>
      <w:pPr/>
      <w:r>
        <w:rPr>
          <w:lang w:val="en-GB"/>
        </w:rPr>
        <w:br/>
      </w:r>
    </w:p>
    <w:p>
      <w:pPr/>
      <w:r>
        <w:rPr>
          <w:lang w:val="en-GB"/>
        </w:rPr>
        <w:t xml:space="preserve"> .</w:t>
      </w:r>
    </w:p>
    <w:p>
      <w:pPr/>
      <w:r>
        <w:rPr>
          <w:lang w:val="en-GB"/>
        </w:rPr>
        <w:br/>
      </w:r>
    </w:p>
    <w:p>
      <w:pPr/>
      <w:r>
        <w:rPr>
          <w:lang w:val="en-GB"/>
        </w:rPr>
        <w:t xml:space="preserve"> It includes listening to questions, understanding and responding to what they say, and involving them in the design and delivery of services that affect them. This includes helping them to understand actions being taken and reasons for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appropriate forms and styles of communication suited to the needs and abilities of children, young people, their families or carers</w:t>
      </w:r>
    </w:p>
    <w:p>
      <w:pPr>
        <w:numPr>
          <w:ilvl w:val="0"/>
          <w:numId w:val="1"/>
        </w:numPr>
      </w:pPr>
      <w:r>
        <w:t>create a suitable environment for discussions with children, young people, their family or carers</w:t>
      </w:r>
    </w:p>
    <w:p>
      <w:pPr>
        <w:numPr>
          <w:ilvl w:val="0"/>
          <w:numId w:val="1"/>
        </w:numPr>
      </w:pPr>
      <w:r>
        <w:t>explain situations to children, young people and their families or carers whilst setting out what has happened or will happen next and the reasons for the action taken</w:t>
      </w:r>
    </w:p>
    <w:p>
      <w:pPr>
        <w:numPr>
          <w:ilvl w:val="0"/>
          <w:numId w:val="1"/>
        </w:numPr>
      </w:pPr>
      <w:r>
        <w:t>encourage questions and check for understanding</w:t>
      </w:r>
    </w:p>
    <w:p>
      <w:pPr>
        <w:numPr>
          <w:ilvl w:val="0"/>
          <w:numId w:val="1"/>
        </w:numPr>
      </w:pPr>
      <w:r>
        <w:t>inform, involve and support the child or young person, their families or carers, to assess different courses of action and to understand the consequences of each</w:t>
      </w:r>
    </w:p>
    <w:p>
      <w:pPr>
        <w:numPr>
          <w:ilvl w:val="0"/>
          <w:numId w:val="1"/>
        </w:numPr>
      </w:pPr>
      <w:r>
        <w:t>identify what the child, young person, their family or carers, hope to achieve in reaching the best possible outcomes</w:t>
      </w:r>
    </w:p>
    <w:p>
      <w:pPr>
        <w:numPr>
          <w:ilvl w:val="0"/>
          <w:numId w:val="1"/>
        </w:numPr>
      </w:pPr>
      <w:r>
        <w:t>listen and respond constructively to any concerns from others</w:t>
      </w:r>
    </w:p>
    <w:p>
      <w:pPr>
        <w:numPr>
          <w:ilvl w:val="0"/>
          <w:numId w:val="1"/>
        </w:numPr>
      </w:pPr>
      <w:r>
        <w:t>obtain the consent of the child or young person, their family or carers to agreed course of action</w:t>
      </w:r>
    </w:p>
    <w:p>
      <w:pPr>
        <w:numPr>
          <w:ilvl w:val="0"/>
          <w:numId w:val="1"/>
        </w:numPr>
      </w:pPr>
      <w:r>
        <w:t>explain to the child or young person, their family or carers, what information you may have to share with others and the reasons why</w:t>
      </w:r>
    </w:p>
    <w:p>
      <w:pPr>
        <w:numPr>
          <w:ilvl w:val="0"/>
          <w:numId w:val="1"/>
        </w:numPr>
      </w:pPr>
      <w:r>
        <w:t>summarise situations to promote understanding for the child or young person taking account of their age, ability, wishes and feelings</w:t>
      </w:r>
    </w:p>
    <w:p>
      <w:pPr>
        <w:numPr>
          <w:ilvl w:val="0"/>
          <w:numId w:val="1"/>
        </w:numPr>
      </w:pPr>
      <w:r>
        <w:t>identify and assess signs of possible abuse or neglect affecting a child or young person</w:t>
      </w:r>
    </w:p>
    <w:p>
      <w:pPr>
        <w:numPr>
          <w:ilvl w:val="0"/>
          <w:numId w:val="1"/>
        </w:numPr>
      </w:pPr>
      <w:r>
        <w:t>verify any concerns and information gained from others</w:t>
      </w:r>
    </w:p>
    <w:p>
      <w:pPr>
        <w:numPr>
          <w:ilvl w:val="0"/>
          <w:numId w:val="1"/>
        </w:numPr>
      </w:pPr>
      <w:r>
        <w:t>consult with the child, young person, their family or carer, over factors that may be hindering achievement of their potential or impairing their health and well-being</w:t>
      </w:r>
    </w:p>
    <w:p>
      <w:pPr>
        <w:numPr>
          <w:ilvl w:val="0"/>
          <w:numId w:val="1"/>
        </w:numPr>
      </w:pPr>
      <w:r>
        <w:t>involve the child or young person, their family or carers, in decisions affecting them, whilst considering their age, ability, wishes and feelings</w:t>
      </w:r>
    </w:p>
    <w:p>
      <w:pPr>
        <w:numPr>
          <w:ilvl w:val="0"/>
          <w:numId w:val="1"/>
        </w:numPr>
      </w:pPr>
      <w:r>
        <w:t>take action to safeguard and protect the welfare of children and young people in line with legal and organisational policies and procedures</w:t>
      </w:r>
    </w:p>
    <w:p>
      <w:pPr>
        <w:numPr>
          <w:ilvl w:val="0"/>
          <w:numId w:val="1"/>
        </w:numPr>
      </w:pPr>
      <w:r>
        <w:t>agree with the appropriate others how information will be obtained, including who is to provide it and by when</w:t>
      </w:r>
    </w:p>
    <w:p>
      <w:pPr>
        <w:numPr>
          <w:ilvl w:val="0"/>
          <w:numId w:val="1"/>
        </w:numPr>
      </w:pPr>
      <w:r>
        <w:t>assess the relevance and status of information, distinguishing between observation or opinion</w:t>
      </w:r>
    </w:p>
    <w:p>
      <w:pPr>
        <w:numPr>
          <w:ilvl w:val="0"/>
          <w:numId w:val="1"/>
        </w:numPr>
      </w:pPr>
      <w:r>
        <w:t>make information available to those identified as entitled to needing and receive it in line with legal and organisational policies and procedures</w:t>
      </w:r>
    </w:p>
    <w:p>
      <w:pPr>
        <w:numPr>
          <w:ilvl w:val="0"/>
          <w:numId w:val="1"/>
        </w:numPr>
      </w:pPr>
      <w:r>
        <w:t>maintain up to date records of the information provided and the outcomes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and organisational policies and procedures that apply to your own organisation for the work being undertaken</w:t>
      </w:r>
    </w:p>
    <w:p>
      <w:pPr>
        <w:numPr>
          <w:ilvl w:val="0"/>
          <w:numId w:val="2"/>
        </w:numPr>
      </w:pPr>
      <w:r>
        <w:t>the importance of building trust and empathy with children, young people, their families or carers and the methods for achieving this</w:t>
      </w:r>
    </w:p>
    <w:p>
      <w:pPr>
        <w:numPr>
          <w:ilvl w:val="0"/>
          <w:numId w:val="2"/>
        </w:numPr>
      </w:pPr>
      <w:r>
        <w:t>different styles and forms of communication and how to adapt</w:t>
      </w:r>
    </w:p>
    <w:p>
      <w:pPr>
        <w:numPr>
          <w:ilvl w:val="0"/>
          <w:numId w:val="2"/>
        </w:numPr>
      </w:pPr>
      <w:r>
        <w:t>the importance of non-verbal communication, and how different cultures use and interpret body language in different ways</w:t>
      </w:r>
    </w:p>
    <w:p>
      <w:pPr>
        <w:numPr>
          <w:ilvl w:val="0"/>
          <w:numId w:val="2"/>
        </w:numPr>
      </w:pPr>
      <w:r>
        <w:t>possible barriers to communication, their causes, and ways to overcome them</w:t>
      </w:r>
    </w:p>
    <w:p>
      <w:pPr>
        <w:numPr>
          <w:ilvl w:val="0"/>
          <w:numId w:val="2"/>
        </w:numPr>
      </w:pPr>
      <w:r>
        <w:t>the role and value of families and carers as partners in supporting children and young people to achieve positive outcomes</w:t>
      </w:r>
    </w:p>
    <w:p>
      <w:pPr>
        <w:numPr>
          <w:ilvl w:val="0"/>
          <w:numId w:val="2"/>
        </w:numPr>
      </w:pPr>
      <w:r>
        <w:t>why it is important to involve the child or young person, their families or carers in the process and how to do this</w:t>
      </w:r>
    </w:p>
    <w:p>
      <w:pPr>
        <w:numPr>
          <w:ilvl w:val="0"/>
          <w:numId w:val="2"/>
        </w:numPr>
      </w:pPr>
      <w:r>
        <w:t>how children and young people see and experience the world in different ways, and the impact of this in communicating and engaging with them</w:t>
      </w:r>
    </w:p>
    <w:p>
      <w:pPr>
        <w:numPr>
          <w:ilvl w:val="0"/>
          <w:numId w:val="2"/>
        </w:numPr>
      </w:pPr>
      <w:r>
        <w:t>why it is important to check understanding and to avoid assumptions and the limits applying to your job role</w:t>
      </w:r>
    </w:p>
    <w:p>
      <w:pPr>
        <w:numPr>
          <w:ilvl w:val="0"/>
          <w:numId w:val="2"/>
        </w:numPr>
      </w:pPr>
      <w:r>
        <w:t>what is meant by safeguarding, and the different ways in which children and young people might be harmed,</w:t>
      </w:r>
    </w:p>
    <w:p>
      <w:pPr>
        <w:numPr>
          <w:ilvl w:val="0"/>
          <w:numId w:val="2"/>
        </w:numPr>
      </w:pPr>
      <w:r>
        <w:t>the key roles of families and carers in safeguarding and promoting the welfare of children and young people</w:t>
      </w:r>
    </w:p>
    <w:p>
      <w:pPr>
        <w:numPr>
          <w:ilvl w:val="0"/>
          <w:numId w:val="2"/>
        </w:numPr>
      </w:pPr>
      <w:r>
        <w:t>different forms and extent of abuse, and their impact upon children's development</w:t>
      </w:r>
    </w:p>
    <w:p>
      <w:pPr>
        <w:numPr>
          <w:ilvl w:val="0"/>
          <w:numId w:val="2"/>
        </w:numPr>
      </w:pPr>
      <w:r>
        <w:t>signs of possible abuse, and how these can be expressed in play, artwork and how children and young people approach relationships with other children or adults</w:t>
      </w:r>
    </w:p>
    <w:p>
      <w:pPr>
        <w:numPr>
          <w:ilvl w:val="0"/>
          <w:numId w:val="2"/>
        </w:numPr>
      </w:pPr>
      <w:r>
        <w:t>when and how to discuss concerns with families and carers, and factors that can affect relationships and increase the risk of abuse</w:t>
      </w:r>
    </w:p>
    <w:p>
      <w:pPr>
        <w:numPr>
          <w:ilvl w:val="0"/>
          <w:numId w:val="2"/>
        </w:numPr>
      </w:pPr>
      <w:r>
        <w:t>the boundaries of your own personal competence and responsibility</w:t>
      </w:r>
    </w:p>
    <w:p>
      <w:pPr>
        <w:numPr>
          <w:ilvl w:val="0"/>
          <w:numId w:val="2"/>
        </w:numPr>
      </w:pPr>
      <w:r>
        <w:t>when to involve others and how to obtain advice and support</w:t>
      </w:r>
    </w:p>
    <w:p>
      <w:pPr>
        <w:numPr>
          <w:ilvl w:val="0"/>
          <w:numId w:val="2"/>
        </w:numPr>
      </w:pPr>
      <w:r>
        <w:t>how assumptions, values and discrimination can influence practice, and may prevent children and young people from having equality of opportunity and equal protection from harm</w:t>
      </w:r>
    </w:p>
    <w:p>
      <w:pPr>
        <w:numPr>
          <w:ilvl w:val="0"/>
          <w:numId w:val="2"/>
        </w:numPr>
      </w:pPr>
      <w:r>
        <w:t>policies that govern the identification and assessment of children and young people’s needs, and how to apply them</w:t>
      </w:r>
    </w:p>
    <w:p>
      <w:pPr>
        <w:numPr>
          <w:ilvl w:val="0"/>
          <w:numId w:val="2"/>
        </w:numPr>
      </w:pPr>
      <w:r>
        <w:t>the roles of other agencies</w:t>
      </w:r>
    </w:p>
    <w:p>
      <w:pPr>
        <w:numPr>
          <w:ilvl w:val="0"/>
          <w:numId w:val="2"/>
        </w:numPr>
      </w:pPr>
      <w:r>
        <w:t>the importance of information sharing in the context of children and young people's well-being and safety</w:t>
      </w:r>
    </w:p>
    <w:p>
      <w:pPr>
        <w:numPr>
          <w:ilvl w:val="0"/>
          <w:numId w:val="2"/>
        </w:numPr>
      </w:pPr>
      <w:r>
        <w:t>how inference or interpretation can result in a difference between what is said and what is understood, and how to address this</w:t>
      </w:r>
    </w:p>
    <w:p>
      <w:pPr>
        <w:numPr>
          <w:ilvl w:val="0"/>
          <w:numId w:val="2"/>
        </w:numPr>
      </w:pPr>
      <w:r>
        <w:t>different sources for relevant information</w:t>
      </w:r>
    </w:p>
    <w:p>
      <w:pPr>
        <w:numPr>
          <w:ilvl w:val="0"/>
          <w:numId w:val="2"/>
        </w:numPr>
      </w:pPr>
      <w:r>
        <w:t>the importance of seeking consent, from the child or young person, their family or carer, for the sharing of information and why it is not always required</w:t>
      </w:r>
    </w:p>
    <w:p>
      <w:pPr>
        <w:numPr>
          <w:ilvl w:val="0"/>
          <w:numId w:val="2"/>
        </w:numPr>
      </w:pPr>
      <w:r>
        <w:t>requirements regarding confidentiality and how such procedures may apply in different contexts</w:t>
      </w:r>
    </w:p>
    <w:p>
      <w:pPr>
        <w:numPr>
          <w:ilvl w:val="0"/>
          <w:numId w:val="2"/>
        </w:numPr>
      </w:pPr>
      <w:r>
        <w:t>when to act upon information received regardless of whether</w:t>
      </w:r>
    </w:p>
    <w:p>
      <w:pPr>
        <w:numPr>
          <w:ilvl w:val="0"/>
          <w:numId w:val="2"/>
        </w:numPr>
      </w:pPr>
      <w:r>
        <w:t>confidentiality is requested</w:t>
      </w:r>
    </w:p>
    <w:p>
      <w:pPr>
        <w:numPr>
          <w:ilvl w:val="0"/>
          <w:numId w:val="2"/>
        </w:numPr>
      </w:pPr>
      <w:r>
        <w:t>different trauma responses and their impact on children and young people</w:t>
      </w:r>
    </w:p>
    <w:p>
      <w:pPr>
        <w:numPr>
          <w:ilvl w:val="0"/>
          <w:numId w:val="2"/>
        </w:numPr>
      </w:pPr>
      <w:r>
        <w:t>the importance of adhering to professional codes or standards of practice</w:t>
      </w:r>
    </w:p>
    <w:p>
      <w:pPr>
        <w:numPr>
          <w:ilvl w:val="0"/>
          <w:numId w:val="2"/>
        </w:numPr>
      </w:pPr>
      <w:r>
        <w:t>additional support needs in children and young people and where to go for up-to-date support and advice</w:t>
      </w:r>
    </w:p>
    <w:p>
      <w:pPr>
        <w:numPr>
          <w:ilvl w:val="0"/>
          <w:numId w:val="2"/>
        </w:numPr>
      </w:pPr>
      <w:r>
        <w:t>child development including physical, cognitive, emotional, social, and communication skills</w:t>
      </w:r>
    </w:p>
    <w:p>
      <w:pPr>
        <w:numPr>
          <w:ilvl w:val="0"/>
          <w:numId w:val="2"/>
        </w:numPr>
      </w:pPr>
      <w:r>
        <w:t>how to promote diversity, equality and inclusion through work with children and young people</w:t>
      </w:r>
    </w:p>
    <w:p>
      <w:pPr>
        <w:numPr>
          <w:ilvl w:val="0"/>
          <w:numId w:val="2"/>
        </w:numPr>
      </w:pPr>
      <w:r>
        <w:t>how to model pro social behaviour when working with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SFJGA7</w:t>
      </w:r>
      <w:r>
        <w:rPr>
          <w:lang w:val="en-GB"/>
        </w:rPr>
        <w:br/>
      </w:r>
    </w:p>
    <w:p>
      <w:pPr/>
      <w:r>
        <w:rPr>
          <w:lang w:val="en-GB"/>
          <w:b/>
        </w:rPr>
        <w:t>Relevant Occupations</w:t>
      </w:r>
    </w:p>
    <w:p>
      <w:pPr/>
      <w:r>
        <w:rPr>
          <w:lang w:val="en-GB"/>
        </w:rPr>
        <w:t>Youth Justice Manager, Youth Justice Officer, Youth Justice Practitioner, Youth Offending Team Manager, Youth Offending Team Officers, Youth Offending Team Worker, Youth Workers</w:t>
      </w:r>
      <w:r>
        <w:rPr>
          <w:lang w:val="en-GB"/>
        </w:rPr>
        <w:br/>
      </w:r>
    </w:p>
    <w:p>
      <w:pPr/>
      <w:r>
        <w:rPr>
          <w:lang w:val="en-GB"/>
          <w:b/>
        </w:rPr>
        <w:t>Suite</w:t>
      </w:r>
    </w:p>
    <w:p>
      <w:pPr/>
      <w:r>
        <w:rPr>
          <w:lang w:val="en-GB"/>
        </w:rPr>
        <w:t>Resettlement of Offenders, Youth Justice</w:t>
      </w:r>
      <w:r>
        <w:rPr>
          <w:lang w:val="en-GB"/>
        </w:rPr>
        <w:br/>
      </w:r>
    </w:p>
    <w:p>
      <w:pPr/>
      <w:r>
        <w:rPr>
          <w:lang w:val="en-GB"/>
          <w:b/>
        </w:rPr>
        <w:t>Keywords</w:t>
      </w:r>
    </w:p>
    <w:p>
      <w:pPr/>
      <w:r>
        <w:rPr>
          <w:lang w:val="en-GB"/>
        </w:rPr>
        <w:t>Communicate; engage; children; youth; family; carers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21B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A154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221f4b489a4b69" /><Relationship Type="http://schemas.openxmlformats.org/officeDocument/2006/relationships/numbering" Target="/word/numbering.xml" Id="R2e261848aee84940" /><Relationship Type="http://schemas.openxmlformats.org/officeDocument/2006/relationships/settings" Target="/word/settings.xml" Id="R2ff591362f274c80" /><Relationship Type="http://schemas.openxmlformats.org/officeDocument/2006/relationships/image" Target="/word/media/2e9e6c5a-0474-4b68-b1ff-d140c5596fdc.png" Id="R8c73fc6fc6c845e1" /></Relationships>
</file>