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b9c2a5eb6a49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SFJBB3</w:t>
            </w:r>
            <w:r>
              <w:rPr>
                <w:b/>
              </w:rPr>
              <w:br/>
            </w:r>
            <w:r>
              <w:rPr>
                <w:b/>
              </w:rPr>
              <w:t>Identify children and young people at risk of  committing anti-social behaviour or offending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faf8a668834a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working with colleagues and other agencies to identify children and young people at risk of anti-social behaviour or offending.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standard refers to the behaviour of children and young people.  This may be anti-social, challenging or offending, and could mean that the individual is at risk of offending or reoffending.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Identify organisations and agencies and liaise with them to identify children and young people with challenging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2.   confirm why agencies consider the behaviour of identified children and young people to be challenging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3.   gather relevant information regarding children and young people to inform the assessment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4.  assess the behaviour of children and young people and the impact of their behaviour in line with organisational policies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review circumstances to identify factors that may be contributing to the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identify children and young people where the risk of committing anti-social behaviour or offending warrants further assessment, and set out reasoned justification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Identify the steps or action to be taken and agree this with relevant others in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update relevant agencies on progress within required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maintain accurate and up to date records of progress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 relevant legislation and organisational policies and procedures that apply to your own organisation for the work being undertaken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2.     the organisations and agencies that are able to identify children and young people at risk of committing anti-social behaviour or offending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3.     indications of challenging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4.     factors that can contribute to challenging behaviour and the importance of addressing these effectively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5.     the impact of trauma on children and young people and how to ensure your practice takes this into consideration 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6.     how to identify and respond to safeguarding concerns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7.     the principles of trauma informed practice and impact on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8.     the principles of restorative justice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   9.     the importance of adhering to professional codes or standards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10.     types of additional support children and young people might require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11.     child development including physical, cognitive, emotional, social, and communication skills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12.     sources of information about exploring the circumstances of children and young people exhibiting challenging behaviour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13.     the importance of differentiating between fact and opinion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14.     types of assessment tools available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15.     how to carry out assessment of individuals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16.     organisational policies and procedures for record keeping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SFJBB3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Youth Justice Manager, Youth Justice Officer, Youth Justice Practitioner, Youth 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Work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Risk-led assessment; assessment; behaviour’ family’ network, support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7c28ea63179465e" /><Relationship Type="http://schemas.openxmlformats.org/officeDocument/2006/relationships/numbering" Target="/word/numbering.xml" Id="Ra71b7f4611294c0f" /><Relationship Type="http://schemas.openxmlformats.org/officeDocument/2006/relationships/settings" Target="/word/settings.xml" Id="R3cbbcb108c4b4797" /><Relationship Type="http://schemas.openxmlformats.org/officeDocument/2006/relationships/image" Target="/word/media/b34afeac-6a61-47b2-9c8d-67ed3edf8d9c.png" Id="R28faf8a668834a55" /></Relationships>
</file>