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3dbe8f153a43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COGESAKR1.18</w:t>
            </w:r>
            <w:r>
              <w:rPr>
                <w:b/>
              </w:rPr>
              <w:br/>
            </w:r>
            <w:r>
              <w:rPr>
                <w:b/>
              </w:rPr>
              <w:t>Evaluate design options for explosive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dbb88a68d448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covers the competences you need to evaluate design options for explosive articles in accordance with approved procedures and practices.</w:t>
      </w:r>
    </w:p>
    <w:p>
      <w:pPr/>
      <w:r>
        <w:rPr>
          <w:lang w:val="en-GB"/>
        </w:rPr>
        <w:t>You will be required to demonstrate that you can evaluate and prioritize design options, against the specification. Recommending the most appropriate design option and detailing the supporting evidence in accordance with approved procedures and practices.</w:t>
      </w:r>
    </w:p>
    <w:p>
      <w:pPr/>
      <w:r>
        <w:rPr>
          <w:lang w:val="en-GB"/>
        </w:rPr>
        <w:t>This activity is likely to be undertaken by someone whose work role involves Ordnance, Munitions or Explosives work activities. This includes people working as design managers, development managers and researchers.</w:t>
      </w:r>
    </w:p>
    <w:p>
      <w:pPr/>
      <w:r>
        <w:rPr>
          <w:lang w:val="en-GB"/>
        </w:rPr>
        <w:t>This standard replaces COGESA1.22 and includes COGESA 1.23.</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confirm and agree your understanding of the design requirements and identified factors</w:t>
      </w:r>
    </w:p>
    <w:p>
      <w:pPr/>
      <w:r>
        <w:rPr>
          <w:lang w:val="en-GB"/>
        </w:rPr>
        <w:br/>
      </w:r>
    </w:p>
    <w:p>
      <w:pPr/>
      <w:r>
        <w:rPr>
          <w:lang w:val="en-GB"/>
        </w:rPr>
        <w:t xml:space="preserve"> P3 obtain and review information that will affect the design</w:t>
      </w:r>
    </w:p>
    <w:p>
      <w:pPr/>
      <w:r>
        <w:rPr>
          <w:lang w:val="en-GB"/>
        </w:rPr>
        <w:br/>
      </w:r>
    </w:p>
    <w:p>
      <w:pPr/>
      <w:r>
        <w:rPr>
          <w:lang w:val="en-GB"/>
        </w:rPr>
        <w:t xml:space="preserve"> P4 evaluate and prioritize design options, against the specification</w:t>
      </w:r>
    </w:p>
    <w:p>
      <w:pPr/>
      <w:r>
        <w:rPr>
          <w:lang w:val="en-GB"/>
        </w:rPr>
        <w:br/>
      </w:r>
    </w:p>
    <w:p>
      <w:pPr/>
      <w:r>
        <w:rPr>
          <w:lang w:val="en-GB"/>
        </w:rPr>
        <w:t xml:space="preserve"> P5 recommend the most appropriate design option, detailing supporting evidence</w:t>
      </w:r>
    </w:p>
    <w:p>
      <w:pPr/>
      <w:r>
        <w:rPr>
          <w:lang w:val="en-GB"/>
        </w:rPr>
        <w:br/>
      </w:r>
    </w:p>
    <w:p>
      <w:pPr/>
      <w:r>
        <w:rPr>
          <w:lang w:val="en-GB"/>
        </w:rPr>
        <w:t xml:space="preserve"> P6 confirm that the costings and timescale for the most appropriate design option are in accordance with the specification</w:t>
      </w:r>
    </w:p>
    <w:p>
      <w:pPr/>
      <w:r>
        <w:rPr>
          <w:lang w:val="en-GB"/>
        </w:rPr>
        <w:br/>
      </w:r>
    </w:p>
    <w:p>
      <w:pPr/>
      <w:r>
        <w:rPr>
          <w:lang w:val="en-GB"/>
        </w:rPr>
        <w:t xml:space="preserve"> P7 prepare options in the correct format, acknowledge all sources and the need for any further investigation.</w:t>
      </w:r>
    </w:p>
    <w:p>
      <w:pPr/>
      <w:r>
        <w:rPr>
          <w:lang w:val="en-GB"/>
        </w:rPr>
        <w:br/>
      </w:r>
    </w:p>
    <w:p>
      <w:pPr/>
      <w:r>
        <w:rPr>
          <w:lang w:val="en-GB"/>
        </w:rPr>
        <w:t xml:space="preserve"> P8 maintain the requirements of confidentiality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substances and/or articles</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required functioning of the explosive substance or article</w:t>
      </w:r>
    </w:p>
    <w:p>
      <w:pPr/>
      <w:r>
        <w:rPr>
          <w:lang w:val="en-GB"/>
        </w:rPr>
        <w:br/>
      </w:r>
    </w:p>
    <w:p>
      <w:pPr/>
      <w:r>
        <w:rPr>
          <w:lang w:val="en-GB"/>
        </w:rPr>
        <w:t xml:space="preserve"> K6 current thinking and policies for the design of explosive articles</w:t>
      </w:r>
    </w:p>
    <w:p>
      <w:pPr/>
      <w:r>
        <w:rPr>
          <w:lang w:val="en-GB"/>
        </w:rPr>
        <w:br/>
      </w:r>
    </w:p>
    <w:p>
      <w:pPr/>
      <w:r>
        <w:rPr>
          <w:lang w:val="en-GB"/>
        </w:rPr>
        <w:t xml:space="preserve"> K7 the requirements of the structure and content of the design specification, and the factors that may impact on the design</w:t>
      </w:r>
    </w:p>
    <w:p>
      <w:pPr/>
      <w:r>
        <w:rPr>
          <w:lang w:val="en-GB"/>
        </w:rPr>
        <w:br/>
      </w:r>
    </w:p>
    <w:p>
      <w:pPr/>
      <w:r>
        <w:rPr>
          <w:lang w:val="en-GB"/>
        </w:rPr>
        <w:t xml:space="preserve"> K8 evaluation techniques</w:t>
      </w:r>
    </w:p>
    <w:p>
      <w:pPr/>
      <w:r>
        <w:rPr>
          <w:lang w:val="en-GB"/>
        </w:rPr>
        <w:br/>
      </w:r>
    </w:p>
    <w:p>
      <w:pPr/>
      <w:r>
        <w:rPr>
          <w:lang w:val="en-GB"/>
        </w:rPr>
        <w:t xml:space="preserve"> K9 communication techniques</w:t>
      </w:r>
    </w:p>
    <w:p>
      <w:pPr/>
      <w:r>
        <w:rPr>
          <w:lang w:val="en-GB"/>
        </w:rPr>
        <w:br/>
      </w:r>
    </w:p>
    <w:p>
      <w:pPr/>
      <w:r>
        <w:rPr>
          <w:lang w:val="en-GB"/>
        </w:rPr>
        <w:t xml:space="preserve"> K10 reporting lines</w:t>
      </w:r>
    </w:p>
    <w:p>
      <w:pPr/>
      <w:r>
        <w:rPr>
          <w:lang w:val="en-GB"/>
        </w:rPr>
        <w:br/>
      </w:r>
    </w:p>
    <w:p>
      <w:pPr/>
      <w:r>
        <w:rPr>
          <w:lang w:val="en-GB"/>
        </w:rPr>
        <w:t xml:space="preserve"> K11 your own level of authority, and that of others you work with</w:t>
      </w:r>
    </w:p>
    <w:p>
      <w:pPr/>
      <w:r>
        <w:rPr>
          <w:lang w:val="en-GB"/>
        </w:rPr>
        <w:br/>
      </w:r>
    </w:p>
    <w:p>
      <w:pPr/>
      <w:r>
        <w:rPr>
          <w:lang w:val="en-GB"/>
        </w:rPr>
        <w:t xml:space="preserve"> K12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r>
        <w:rPr>
          <w:lang w:val="en-GB"/>
        </w:rPr>
        <w:br/>
      </w:r>
    </w:p>
    <w:p>
      <w:pPr/>
      <w:r>
        <w:rPr>
          <w:lang w:val="en-GB"/>
        </w:rPr>
        <w:t xml:space="preserve"> 1 Level and extent of responsibility: removal of the lowest sub-assembly and routine testing; carrying out routine removal tasks on complex systems under the supervisor’s direction</w:t>
      </w:r>
    </w:p>
    <w:p>
      <w:pPr/>
      <w:r>
        <w:rPr>
          <w:lang w:val="en-GB"/>
        </w:rPr>
        <w:br/>
      </w:r>
    </w:p>
    <w:p>
      <w:pPr/>
      <w:r>
        <w:rPr>
          <w:lang w:val="en-GB"/>
        </w:rPr>
        <w:t xml:space="preserve"> 2 Types of removal procedures and activities: non-critical routine removal of explosive articles; critical routine removal where sign-off by a supervisor is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 xml:space="preserve">This standard replaces COGESA1.22 and includes COGESA 1.23. </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Evaluate, design, health and safety, statutory regulations, hazards, risks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ea423ec46645c7" /><Relationship Type="http://schemas.openxmlformats.org/officeDocument/2006/relationships/numbering" Target="/word/numbering.xml" Id="R57d5368938944d34" /><Relationship Type="http://schemas.openxmlformats.org/officeDocument/2006/relationships/settings" Target="/word/settings.xml" Id="Rc405974ba03a48d9" /><Relationship Type="http://schemas.openxmlformats.org/officeDocument/2006/relationships/image" Target="/word/media/b7c6e735-9beb-4251-8023-55e5b4062e3b.png" Id="R4ddbb88a68d44883" /></Relationships>
</file>