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5a5467597fa4e4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COGESAKR1.17</w:t>
            </w:r>
            <w:r>
              <w:rPr>
                <w:b/>
              </w:rPr>
              <w:br/>
            </w:r>
            <w:r>
              <w:rPr>
                <w:b/>
              </w:rPr>
              <w:t>Generate design options for explosive articles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971e6b5affb4dc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exists within a research and development role and covers the competences you need to generate design options for explosive articles in accordance with approved procedures and practices.</w:t>
      </w:r>
    </w:p>
    <w:p>
      <w:pPr/>
      <w:r>
        <w:rPr>
          <w:lang w:val="en-GB"/>
        </w:rPr>
        <w:t>You will be required to demonstrate that you can confirm your understanding of the design requirements. Identifying and develop design options, in sufficient detail to enable evaluation in accordance with approved procedures and practices.</w:t>
      </w:r>
    </w:p>
    <w:p>
      <w:pPr/>
      <w:r>
        <w:rPr>
          <w:lang w:val="en-GB"/>
        </w:rPr>
        <w:t>This activity is likely to be undertaken by someone whose work role involves Ordnance, Munitions or Explosives work activities. This includes people working as design managers and development managers.</w:t>
      </w:r>
    </w:p>
    <w:p>
      <w:pPr/>
      <w:r>
        <w:rPr>
          <w:lang w:val="en-GB"/>
        </w:rPr>
        <w:t>This standard replaces COGESA1.21.</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environmental and other relevant regulations, legislation and guidelines</w:t>
      </w:r>
    </w:p>
    <w:p>
      <w:pPr/>
      <w:r>
        <w:rPr>
          <w:lang w:val="en-GB"/>
        </w:rPr>
        <w:br/>
      </w:r>
    </w:p>
    <w:p>
      <w:pPr/>
      <w:r>
        <w:rPr>
          <w:lang w:val="en-GB"/>
        </w:rPr>
        <w:t xml:space="preserve"> P2 confirm your understanding of the design requirements</w:t>
      </w:r>
    </w:p>
    <w:p>
      <w:pPr/>
      <w:r>
        <w:rPr>
          <w:lang w:val="en-GB"/>
        </w:rPr>
        <w:br/>
      </w:r>
    </w:p>
    <w:p>
      <w:pPr/>
      <w:r>
        <w:rPr>
          <w:lang w:val="en-GB"/>
        </w:rPr>
        <w:t xml:space="preserve"> P3 deal with problems relating to the design requirements</w:t>
      </w:r>
    </w:p>
    <w:p>
      <w:pPr/>
      <w:r>
        <w:rPr>
          <w:lang w:val="en-GB"/>
        </w:rPr>
        <w:br/>
      </w:r>
    </w:p>
    <w:p>
      <w:pPr/>
      <w:r>
        <w:rPr>
          <w:lang w:val="en-GB"/>
        </w:rPr>
        <w:t xml:space="preserve"> P4 identify and develop design options, in sufficient detail to enable evaluation</w:t>
      </w:r>
    </w:p>
    <w:p>
      <w:pPr/>
      <w:r>
        <w:rPr>
          <w:lang w:val="en-GB"/>
        </w:rPr>
        <w:br/>
      </w:r>
    </w:p>
    <w:p>
      <w:pPr/>
      <w:r>
        <w:rPr>
          <w:lang w:val="en-GB"/>
        </w:rPr>
        <w:t xml:space="preserve"> P5 prepare costings and timescale, in accordance with the specification</w:t>
      </w:r>
    </w:p>
    <w:p>
      <w:pPr/>
      <w:r>
        <w:rPr>
          <w:lang w:val="en-GB"/>
        </w:rPr>
        <w:br/>
      </w:r>
    </w:p>
    <w:p>
      <w:pPr/>
      <w:r>
        <w:rPr>
          <w:lang w:val="en-GB"/>
        </w:rPr>
        <w:t xml:space="preserve"> P6 document all generated design options</w:t>
      </w:r>
    </w:p>
    <w:p>
      <w:pPr/>
      <w:r>
        <w:rPr>
          <w:lang w:val="en-GB"/>
        </w:rPr>
        <w:br/>
      </w:r>
    </w:p>
    <w:p>
      <w:pPr/>
      <w:r>
        <w:rPr>
          <w:lang w:val="en-GB"/>
        </w:rPr>
        <w:t xml:space="preserve"> P7 present your findings in the correct format</w:t>
      </w:r>
    </w:p>
    <w:p>
      <w:pPr/>
      <w:r>
        <w:rPr>
          <w:lang w:val="en-GB"/>
        </w:rPr>
        <w:br/>
      </w:r>
    </w:p>
    <w:p>
      <w:pPr/>
      <w:r>
        <w:rPr>
          <w:lang w:val="en-GB"/>
        </w:rPr>
        <w:t xml:space="preserve"> P8 maintain the requirements of confidentiality at all times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health, safety and environmental and other statutory legislation, regulations and safe working practices and procedures governing explosives and their implications for your area of work</w:t>
      </w:r>
    </w:p>
    <w:p>
      <w:pPr/>
      <w:r>
        <w:rPr>
          <w:lang w:val="en-GB"/>
        </w:rPr>
        <w:br/>
      </w:r>
    </w:p>
    <w:p>
      <w:pPr/>
      <w:r>
        <w:rPr>
          <w:lang w:val="en-GB"/>
        </w:rPr>
        <w:t xml:space="preserve"> K2 the relevance of personal protective equipment (PPE)</w:t>
      </w:r>
    </w:p>
    <w:p>
      <w:pPr/>
      <w:r>
        <w:rPr>
          <w:lang w:val="en-GB"/>
        </w:rPr>
        <w:br/>
      </w:r>
    </w:p>
    <w:p>
      <w:pPr/>
      <w:r>
        <w:rPr>
          <w:lang w:val="en-GB"/>
        </w:rPr>
        <w:t xml:space="preserve"> K3 the nature, characteristics, hazards and risks of the explosive substances and/or articles</w:t>
      </w:r>
    </w:p>
    <w:p>
      <w:pPr/>
      <w:r>
        <w:rPr>
          <w:lang w:val="en-GB"/>
        </w:rPr>
        <w:br/>
      </w:r>
    </w:p>
    <w:p>
      <w:pPr/>
      <w:r>
        <w:rPr>
          <w:lang w:val="en-GB"/>
        </w:rPr>
        <w:t xml:space="preserve"> K4 the actions to be taken in response to an unplanned event</w:t>
      </w:r>
    </w:p>
    <w:p>
      <w:pPr/>
      <w:r>
        <w:rPr>
          <w:lang w:val="en-GB"/>
        </w:rPr>
        <w:br/>
      </w:r>
    </w:p>
    <w:p>
      <w:pPr/>
      <w:r>
        <w:rPr>
          <w:lang w:val="en-GB"/>
        </w:rPr>
        <w:t xml:space="preserve"> K5 the required functioning of the explosive substance or article</w:t>
      </w:r>
    </w:p>
    <w:p>
      <w:pPr/>
      <w:r>
        <w:rPr>
          <w:lang w:val="en-GB"/>
        </w:rPr>
        <w:br/>
      </w:r>
    </w:p>
    <w:p>
      <w:pPr/>
      <w:r>
        <w:rPr>
          <w:lang w:val="en-GB"/>
        </w:rPr>
        <w:t xml:space="preserve"> K6 current thinking within your own specialism</w:t>
      </w:r>
    </w:p>
    <w:p>
      <w:pPr/>
      <w:r>
        <w:rPr>
          <w:lang w:val="en-GB"/>
        </w:rPr>
        <w:br/>
      </w:r>
    </w:p>
    <w:p>
      <w:pPr/>
      <w:r>
        <w:rPr>
          <w:lang w:val="en-GB"/>
        </w:rPr>
        <w:t xml:space="preserve"> K7 information sources and document systems</w:t>
      </w:r>
    </w:p>
    <w:p>
      <w:pPr/>
      <w:r>
        <w:rPr>
          <w:lang w:val="en-GB"/>
        </w:rPr>
        <w:br/>
      </w:r>
    </w:p>
    <w:p>
      <w:pPr/>
      <w:r>
        <w:rPr>
          <w:lang w:val="en-GB"/>
        </w:rPr>
        <w:t xml:space="preserve"> K8 the requirements of the structure and content of the design specification and the factors that may impact on your design</w:t>
      </w:r>
    </w:p>
    <w:p>
      <w:pPr/>
      <w:r>
        <w:rPr>
          <w:lang w:val="en-GB"/>
        </w:rPr>
        <w:br/>
      </w:r>
    </w:p>
    <w:p>
      <w:pPr/>
      <w:r>
        <w:rPr>
          <w:lang w:val="en-GB"/>
        </w:rPr>
        <w:t xml:space="preserve"> K9 communication techniques</w:t>
      </w:r>
    </w:p>
    <w:p>
      <w:pPr/>
      <w:r>
        <w:rPr>
          <w:lang w:val="en-GB"/>
        </w:rPr>
        <w:br/>
      </w:r>
    </w:p>
    <w:p>
      <w:pPr/>
      <w:r>
        <w:rPr>
          <w:lang w:val="en-GB"/>
        </w:rPr>
        <w:t xml:space="preserve"> K10 reporting lines</w:t>
      </w:r>
    </w:p>
    <w:p>
      <w:pPr/>
      <w:r>
        <w:rPr>
          <w:lang w:val="en-GB"/>
        </w:rPr>
        <w:br/>
      </w:r>
    </w:p>
    <w:p>
      <w:pPr/>
      <w:r>
        <w:rPr>
          <w:lang w:val="en-GB"/>
        </w:rPr>
        <w:t xml:space="preserve"> K11 your own level of authority and that of others you work with</w:t>
      </w:r>
    </w:p>
    <w:p>
      <w:pPr/>
      <w:r>
        <w:rPr>
          <w:lang w:val="en-GB"/>
        </w:rPr>
        <w:br/>
      </w:r>
    </w:p>
    <w:p>
      <w:pPr/>
      <w:r>
        <w:rPr>
          <w:lang w:val="en-GB"/>
        </w:rPr>
        <w:t xml:space="preserve"> K12 the requirements of confidentiality</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These standards may be limited by the following;</w:t>
      </w:r>
    </w:p>
    <w:p>
      <w:pPr>
        <w:numPr>
          <w:ilvl w:val="0"/>
          <w:numId w:val="1"/>
        </w:numPr>
      </w:pPr>
      <w:r>
        <w:t>Information sources: informal; internal specifications; external publications</w:t>
      </w:r>
    </w:p>
    <w:p>
      <w:pPr>
        <w:numPr>
          <w:ilvl w:val="0"/>
          <w:numId w:val="1"/>
        </w:numPr>
      </w:pPr>
      <w:r>
        <w:t>People: your manager; the customer</w:t>
      </w:r>
    </w:p>
    <w:p>
      <w:pPr>
        <w:numPr>
          <w:ilvl w:val="0"/>
          <w:numId w:val="1"/>
        </w:numPr>
      </w:pPr>
      <w:r>
        <w:t>Format: verbal; written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30 Mar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Cogent </w:t>
      </w:r>
      <w:r>
        <w:rPr>
          <w:lang w:val="en-GB"/>
        </w:rPr>
        <w:br/>
      </w:r>
    </w:p>
    <w:p>
      <w:pPr/>
      <w:r>
        <w:rPr>
          <w:lang w:val="en-GB"/>
          <w:b/>
        </w:rPr>
        <w:t>Original URN</w:t>
      </w:r>
    </w:p>
    <w:p>
      <w:pPr/>
      <w:r>
        <w:rPr>
          <w:lang w:val="en-GB"/>
        </w:rPr>
        <w:t xml:space="preserve">This standard replaces COGESA1.21. </w:t>
      </w:r>
      <w:r>
        <w:rPr>
          <w:lang w:val="en-GB"/>
        </w:rPr>
        <w:br/>
      </w:r>
    </w:p>
    <w:p>
      <w:pPr/>
      <w:r>
        <w:rPr>
          <w:lang w:val="en-GB"/>
          <w:b/>
        </w:rPr>
        <w:t>Relevant Occupations</w:t>
      </w:r>
    </w:p>
    <w:p>
      <w:pPr/>
      <w:r>
        <w:rPr>
          <w:lang w:val="en-GB"/>
        </w:rPr>
        <w:t>Engineering and Manufacturing Technologies, Process, Plant and Machine Operatives, Science and Engineering Technicians, Science and Mathematics Science</w:t>
      </w:r>
      <w:r>
        <w:rPr>
          <w:lang w:val="en-GB"/>
        </w:rPr>
        <w:br/>
      </w:r>
    </w:p>
    <w:p>
      <w:pPr/>
      <w:r>
        <w:rPr>
          <w:lang w:val="en-GB"/>
          <w:b/>
        </w:rPr>
        <w:t>Suite</w:t>
      </w:r>
    </w:p>
    <w:p>
      <w:pPr/>
      <w:r>
        <w:rPr>
          <w:lang w:val="en-GB"/>
        </w:rPr>
        <w:t>Explosive Substances and Articles: Research, Design and Development</w:t>
      </w:r>
      <w:r>
        <w:rPr>
          <w:lang w:val="en-GB"/>
        </w:rPr>
        <w:br/>
      </w:r>
    </w:p>
    <w:p>
      <w:pPr/>
      <w:r>
        <w:rPr>
          <w:lang w:val="en-GB"/>
          <w:b/>
        </w:rPr>
        <w:t>Keywords</w:t>
      </w:r>
    </w:p>
    <w:p>
      <w:pPr/>
      <w:r>
        <w:rPr>
          <w:lang w:val="en-GB"/>
        </w:rPr>
        <w:t>Generate, design, explosive articles, health and safety, statutory regulations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E29694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29d6ac0928849e2" /><Relationship Type="http://schemas.openxmlformats.org/officeDocument/2006/relationships/numbering" Target="/word/numbering.xml" Id="Rd381fe3f8a58484c" /><Relationship Type="http://schemas.openxmlformats.org/officeDocument/2006/relationships/settings" Target="/word/settings.xml" Id="R65d641341b324d47" /><Relationship Type="http://schemas.openxmlformats.org/officeDocument/2006/relationships/image" Target="/word/media/bfd8394b-53e1-4e7c-8aea-a83fa32f761b.png" Id="R5971e6b5affb4dc7" /></Relationships>
</file>