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b2c3ef5c87b466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COGESAKR1.12</w:t>
            </w:r>
            <w:r>
              <w:rPr>
                <w:b/>
              </w:rPr>
              <w:br/>
            </w:r>
            <w:r>
              <w:rPr>
                <w:b/>
              </w:rPr>
              <w:t>Develop a dissemination plan for explosive substances and/or articles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5ac31bd9c1948b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exists within a research and development role and covers the competences you need to develop a dissemination plan for information on explosive substances and or articles in accordance with approved procedures and practices.</w:t>
      </w:r>
    </w:p>
    <w:p>
      <w:pPr/>
      <w:r>
        <w:rPr>
          <w:lang w:val="en-GB"/>
        </w:rPr>
        <w:t>You will be required to demonstrate that you can ensure that the dissemination plan objectives are consistent with those of the research strategy, and with intellectual property rights ensuring that the dissemination plan meets regulatory requirements in accordance with approved procedures and practices.</w:t>
      </w:r>
    </w:p>
    <w:p>
      <w:pPr/>
      <w:r>
        <w:rPr>
          <w:lang w:val="en-GB"/>
        </w:rPr>
        <w:t>This activity is likely to be undertaken by someone whose work role involves Ordnance, Munitions or Explosives work activities. This includes people working as research leaders, design mangers and development managers.</w:t>
      </w:r>
    </w:p>
    <w:p>
      <w:pPr/>
      <w:r>
        <w:rPr>
          <w:lang w:val="en-GB"/>
        </w:rPr>
        <w:t>This standard replaces COGESA1.15.</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work safely at all times, complying with health and safety, environmental and other relevant regulations, legislation and guidelines</w:t>
      </w:r>
    </w:p>
    <w:p>
      <w:pPr/>
      <w:r>
        <w:rPr>
          <w:lang w:val="en-GB"/>
        </w:rPr>
        <w:br/>
      </w:r>
    </w:p>
    <w:p>
      <w:pPr/>
      <w:r>
        <w:rPr>
          <w:lang w:val="en-GB"/>
        </w:rPr>
        <w:t xml:space="preserve"> P2 define the dissemination plan containing specific, measurable and timely objectives</w:t>
      </w:r>
    </w:p>
    <w:p>
      <w:pPr/>
      <w:r>
        <w:rPr>
          <w:lang w:val="en-GB"/>
        </w:rPr>
        <w:br/>
      </w:r>
    </w:p>
    <w:p>
      <w:pPr/>
      <w:r>
        <w:rPr>
          <w:lang w:val="en-GB"/>
        </w:rPr>
        <w:t xml:space="preserve"> P3 ensure that the dissemination plan objectives are consistent with those of the research strategy, and with intellectual property rights</w:t>
      </w:r>
    </w:p>
    <w:p>
      <w:pPr/>
      <w:r>
        <w:rPr>
          <w:lang w:val="en-GB"/>
        </w:rPr>
        <w:br/>
      </w:r>
    </w:p>
    <w:p>
      <w:pPr/>
      <w:r>
        <w:rPr>
          <w:lang w:val="en-GB"/>
        </w:rPr>
        <w:t xml:space="preserve"> P4 ensure that the dissemination plan meets regulatory requirements</w:t>
      </w:r>
    </w:p>
    <w:p>
      <w:pPr/>
      <w:r>
        <w:rPr>
          <w:lang w:val="en-GB"/>
        </w:rPr>
        <w:br/>
      </w:r>
    </w:p>
    <w:p>
      <w:pPr/>
      <w:r>
        <w:rPr>
          <w:lang w:val="en-GB"/>
        </w:rPr>
        <w:t xml:space="preserve"> P5 ensure that your plans are achievable, within the allocated resources and specified timescale</w:t>
      </w:r>
    </w:p>
    <w:p>
      <w:pPr/>
      <w:r>
        <w:rPr>
          <w:lang w:val="en-GB"/>
        </w:rPr>
        <w:br/>
      </w:r>
    </w:p>
    <w:p>
      <w:pPr/>
      <w:r>
        <w:rPr>
          <w:lang w:val="en-GB"/>
        </w:rPr>
        <w:t xml:space="preserve"> P6 select dissemination methods that are capable of reaching your target audience</w:t>
      </w:r>
    </w:p>
    <w:p>
      <w:pPr/>
      <w:r>
        <w:rPr>
          <w:lang w:val="en-GB"/>
        </w:rPr>
        <w:br/>
      </w:r>
    </w:p>
    <w:p>
      <w:pPr/>
      <w:r>
        <w:rPr>
          <w:lang w:val="en-GB"/>
        </w:rPr>
        <w:t xml:space="preserve"> P7 obtain approval for your plan, in accordance with your organization’s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health, safety and environmental and other statutory legislation, regulations and safe working practices and procedures governing explosives, and their implications for your area of work</w:t>
      </w:r>
    </w:p>
    <w:p>
      <w:pPr/>
      <w:r>
        <w:rPr>
          <w:lang w:val="en-GB"/>
        </w:rPr>
        <w:br/>
      </w:r>
    </w:p>
    <w:p>
      <w:pPr/>
      <w:r>
        <w:rPr>
          <w:lang w:val="en-GB"/>
        </w:rPr>
        <w:t xml:space="preserve"> K2 the research dissemination strategy</w:t>
      </w:r>
    </w:p>
    <w:p>
      <w:pPr/>
      <w:r>
        <w:rPr>
          <w:lang w:val="en-GB"/>
        </w:rPr>
        <w:br/>
      </w:r>
    </w:p>
    <w:p>
      <w:pPr/>
      <w:r>
        <w:rPr>
          <w:lang w:val="en-GB"/>
        </w:rPr>
        <w:t xml:space="preserve"> K3 the different dissemination methods, and their respective advantages and disadvantages</w:t>
      </w:r>
    </w:p>
    <w:p>
      <w:pPr/>
      <w:r>
        <w:rPr>
          <w:lang w:val="en-GB"/>
        </w:rPr>
        <w:br/>
      </w:r>
    </w:p>
    <w:p>
      <w:pPr/>
      <w:r>
        <w:rPr>
          <w:lang w:val="en-GB"/>
        </w:rPr>
        <w:t xml:space="preserve"> K4 regulatory requirements affecting the dissemination and publication of information</w:t>
      </w:r>
    </w:p>
    <w:p>
      <w:pPr/>
      <w:r>
        <w:rPr>
          <w:lang w:val="en-GB"/>
        </w:rPr>
        <w:br/>
      </w:r>
    </w:p>
    <w:p>
      <w:pPr/>
      <w:r>
        <w:rPr>
          <w:lang w:val="en-GB"/>
        </w:rPr>
        <w:t xml:space="preserve"> K5 the information needs of your target audience</w:t>
      </w:r>
    </w:p>
    <w:p>
      <w:pPr/>
      <w:r>
        <w:rPr>
          <w:lang w:val="en-GB"/>
        </w:rPr>
        <w:br/>
      </w:r>
    </w:p>
    <w:p>
      <w:pPr/>
      <w:r>
        <w:rPr>
          <w:lang w:val="en-GB"/>
        </w:rPr>
        <w:t xml:space="preserve"> K6 constraints relating to intellectual property</w:t>
      </w:r>
    </w:p>
    <w:p>
      <w:pPr/>
      <w:r>
        <w:rPr>
          <w:lang w:val="en-GB"/>
        </w:rPr>
        <w:br/>
      </w:r>
    </w:p>
    <w:p>
      <w:pPr/>
      <w:r>
        <w:rPr>
          <w:lang w:val="en-GB"/>
        </w:rPr>
        <w:t xml:space="preserve"> K7 planning techniques</w:t>
      </w:r>
    </w:p>
    <w:p>
      <w:pPr/>
      <w:r>
        <w:rPr>
          <w:lang w:val="en-GB"/>
        </w:rPr>
        <w:br/>
      </w:r>
    </w:p>
    <w:p>
      <w:pPr/>
      <w:r>
        <w:rPr>
          <w:lang w:val="en-GB"/>
        </w:rPr>
        <w:t xml:space="preserve"> K8 who may be affected by the dissemination plan, and in what way</w:t>
      </w:r>
    </w:p>
    <w:p>
      <w:pPr/>
      <w:r>
        <w:rPr>
          <w:lang w:val="en-GB"/>
        </w:rPr>
        <w:br/>
      </w:r>
    </w:p>
    <w:p>
      <w:pPr/>
      <w:r>
        <w:rPr>
          <w:lang w:val="en-GB"/>
        </w:rPr>
        <w:t xml:space="preserve"> K9 your own level of authority, and that of others with whom you work</w:t>
      </w:r>
    </w:p>
    <w:p>
      <w:pPr/>
      <w:r>
        <w:rPr>
          <w:lang w:val="en-GB"/>
        </w:rPr>
        <w:br/>
      </w:r>
    </w:p>
    <w:p>
      <w:pPr/>
      <w:r>
        <w:rPr>
          <w:lang w:val="en-GB"/>
        </w:rPr>
        <w:t xml:space="preserve"> K10 reporting lines</w:t>
      </w:r>
    </w:p>
    <w:p>
      <w:pPr/>
      <w:r>
        <w:rPr>
          <w:lang w:val="en-GB"/>
        </w:rPr>
        <w:br/>
      </w:r>
    </w:p>
    <w:p>
      <w:pPr/>
      <w:r>
        <w:rPr>
          <w:lang w:val="en-GB"/>
        </w:rPr>
        <w:t xml:space="preserve"> K11 the requirements of confidentiality</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These standards may be limited by the following;</w:t>
      </w:r>
    </w:p>
    <w:p>
      <w:pPr>
        <w:numPr>
          <w:ilvl w:val="0"/>
          <w:numId w:val="1"/>
        </w:numPr>
      </w:pPr>
      <w:r>
        <w:t>Approval from: your manager; your sponsor; collaborators</w:t>
      </w:r>
    </w:p>
    <w:p>
      <w:pPr>
        <w:numPr>
          <w:ilvl w:val="0"/>
          <w:numId w:val="1"/>
        </w:numPr>
      </w:pPr>
      <w:r>
        <w:t>Target audiences: colleagues; sponsors; technical experts; nontechnical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Apr 2024</w:t>
      </w:r>
      <w:r>
        <w:rPr>
          <w:lang w:val="en-GB"/>
        </w:rPr>
        <w:br/>
      </w:r>
    </w:p>
    <w:p>
      <w:pPr/>
      <w:r>
        <w:rPr>
          <w:lang w:val="en-GB"/>
          <w:b/>
        </w:rPr>
        <w:t>Indicative Review Date</w:t>
      </w:r>
    </w:p>
    <w:p>
      <w:pPr/>
      <w:r>
        <w:rPr>
          <w:lang w:val="en-GB"/>
        </w:rPr>
        <w:t>30 Mar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Cogent </w:t>
      </w:r>
      <w:r>
        <w:rPr>
          <w:lang w:val="en-GB"/>
        </w:rPr>
        <w:br/>
      </w:r>
    </w:p>
    <w:p>
      <w:pPr/>
      <w:r>
        <w:rPr>
          <w:lang w:val="en-GB"/>
          <w:b/>
        </w:rPr>
        <w:t>Original URN</w:t>
      </w:r>
    </w:p>
    <w:p>
      <w:pPr/>
      <w:r>
        <w:rPr>
          <w:lang w:val="en-GB"/>
        </w:rPr>
        <w:t>This standard replaces COGESA1.15.</w:t>
      </w:r>
      <w:r>
        <w:rPr>
          <w:lang w:val="en-GB"/>
        </w:rPr>
        <w:br/>
      </w:r>
    </w:p>
    <w:p>
      <w:pPr/>
      <w:r>
        <w:rPr>
          <w:lang w:val="en-GB"/>
          <w:b/>
        </w:rPr>
        <w:t>Relevant Occupations</w:t>
      </w:r>
    </w:p>
    <w:p>
      <w:pPr/>
      <w:r>
        <w:rPr>
          <w:lang w:val="en-GB"/>
        </w:rPr>
        <w:t>Engineering and Manufacturing Technologies, Process, Plant and Machine Operatives, Science and Engineering Technicians, Science and Mathematics Science</w:t>
      </w:r>
      <w:r>
        <w:rPr>
          <w:lang w:val="en-GB"/>
        </w:rPr>
        <w:br/>
      </w:r>
    </w:p>
    <w:p>
      <w:pPr/>
      <w:r>
        <w:rPr>
          <w:lang w:val="en-GB"/>
          <w:b/>
        </w:rPr>
        <w:t>Suite</w:t>
      </w:r>
    </w:p>
    <w:p>
      <w:pPr/>
      <w:r>
        <w:rPr>
          <w:lang w:val="en-GB"/>
        </w:rPr>
        <w:t>Explosive Substances and Articles: Research, Design and Development</w:t>
      </w:r>
      <w:r>
        <w:rPr>
          <w:lang w:val="en-GB"/>
        </w:rPr>
        <w:br/>
      </w:r>
    </w:p>
    <w:p>
      <w:pPr/>
      <w:r>
        <w:rPr>
          <w:lang w:val="en-GB"/>
          <w:b/>
        </w:rPr>
        <w:t>Keywords</w:t>
      </w:r>
    </w:p>
    <w:p>
      <w:pPr/>
      <w:r>
        <w:rPr>
          <w:lang w:val="en-GB"/>
        </w:rPr>
        <w:t xml:space="preserve"> Specification, health and safety, environmental,  audiences, colleagues, experts, technical, non technical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673D5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7df90303a5c4b31" /><Relationship Type="http://schemas.openxmlformats.org/officeDocument/2006/relationships/numbering" Target="/word/numbering.xml" Id="Ra75c03f4df054412" /><Relationship Type="http://schemas.openxmlformats.org/officeDocument/2006/relationships/settings" Target="/word/settings.xml" Id="R6bcd26f92aa9459f" /><Relationship Type="http://schemas.openxmlformats.org/officeDocument/2006/relationships/image" Target="/word/media/74f84a8c-e6f3-4385-90b9-da9d3acafe1a.png" Id="R95ac31bd9c1948b4" /></Relationships>
</file>