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1d23745cae41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SFJGK515</w:t>
            </w:r>
            <w:r>
              <w:rPr>
                <w:b/>
              </w:rPr>
              <w:br/>
            </w:r>
            <w:r>
              <w:rPr>
                <w:b/>
              </w:rPr>
              <w:t>Support individuals to recognise their risk of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426d64d47e48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help individuals recognise their risk of domestic abuse or sexual violence and encourage them to engage with the support you can offer. This includes your ability to make a judgement about the likelihood of re-victimisation based on your assessment of the circumstances and risks to individuals. </w:t>
      </w:r>
    </w:p>
    <w:p>
      <w:pPr/>
      <w:r>
        <w:rPr>
          <w:lang w:val="en-GB"/>
        </w:rPr>
        <w:br/>
      </w:r>
    </w:p>
    <w:p>
      <w:pPr/>
      <w:r>
        <w:rPr>
          <w:lang w:val="en-GB"/>
        </w:rPr>
        <w:t xml:space="preserve"> As part of this standard, you will need to be able to work with those who do not recognise themselves as victims of domestic abuse or sexual violence, as well as with children and people who are at risk.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agree your objectives with relevant others in providing support to individuals at risk of re-victimisation in line with organisational policies and procedures </w:t>
      </w:r>
    </w:p>
    <w:p>
      <w:pPr/>
      <w:r>
        <w:rPr>
          <w:lang w:val="en-GB"/>
        </w:rPr>
        <w:br/>
      </w:r>
    </w:p>
    <w:p>
      <w:pPr/>
      <w:r>
        <w:rPr>
          <w:lang w:val="en-GB"/>
        </w:rPr>
        <w:t xml:space="preserve"> 2. inform individuals about your role, responsibilities and objectives in line with organisational policies and procedures </w:t>
      </w:r>
    </w:p>
    <w:p>
      <w:pPr/>
      <w:r>
        <w:rPr>
          <w:lang w:val="en-GB"/>
        </w:rPr>
        <w:br/>
      </w:r>
    </w:p>
    <w:p>
      <w:pPr/>
      <w:r>
        <w:rPr>
          <w:lang w:val="en-GB"/>
        </w:rPr>
        <w:t xml:space="preserve"> 3. explore with individuals their situation to inform your understanding of their risks and needs, including factors that affect risk levels </w:t>
      </w:r>
    </w:p>
    <w:p>
      <w:pPr/>
      <w:r>
        <w:rPr>
          <w:lang w:val="en-GB"/>
        </w:rPr>
        <w:br/>
      </w:r>
    </w:p>
    <w:p>
      <w:pPr/>
      <w:r>
        <w:rPr>
          <w:lang w:val="en-GB"/>
        </w:rPr>
        <w:t xml:space="preserve"> 4. determine levels of risk to individuals in line with dynamic risk assessment processes, including risks of: </w:t>
      </w:r>
    </w:p>
    <w:p>
      <w:pPr/>
      <w:r>
        <w:rPr>
          <w:lang w:val="en-GB"/>
        </w:rPr>
        <w:br/>
      </w:r>
    </w:p>
    <w:p>
      <w:pPr/>
      <w:r>
        <w:rPr>
          <w:lang w:val="en-GB"/>
        </w:rPr>
        <w:t xml:space="preserve"> • re-victimisation </w:t>
      </w:r>
    </w:p>
    <w:p>
      <w:pPr/>
      <w:r>
        <w:rPr>
          <w:lang w:val="en-GB"/>
        </w:rPr>
        <w:br/>
      </w:r>
    </w:p>
    <w:p>
      <w:pPr/>
      <w:r>
        <w:rPr>
          <w:lang w:val="en-GB"/>
        </w:rPr>
        <w:t xml:space="preserve"> • secondary victimisation </w:t>
      </w:r>
    </w:p>
    <w:p>
      <w:pPr/>
      <w:r>
        <w:rPr>
          <w:lang w:val="en-GB"/>
        </w:rPr>
        <w:br/>
      </w:r>
    </w:p>
    <w:p>
      <w:pPr/>
      <w:r>
        <w:rPr>
          <w:lang w:val="en-GB"/>
        </w:rPr>
        <w:t xml:space="preserve"> • coercion </w:t>
      </w:r>
    </w:p>
    <w:p>
      <w:pPr/>
      <w:r>
        <w:rPr>
          <w:lang w:val="en-GB"/>
        </w:rPr>
        <w:br/>
      </w:r>
    </w:p>
    <w:p>
      <w:pPr/>
      <w:r>
        <w:rPr>
          <w:lang w:val="en-GB"/>
        </w:rPr>
        <w:t xml:space="preserve"> • supplying other victims </w:t>
      </w:r>
    </w:p>
    <w:p>
      <w:pPr/>
      <w:r>
        <w:rPr>
          <w:lang w:val="en-GB"/>
        </w:rPr>
        <w:br/>
      </w:r>
    </w:p>
    <w:p>
      <w:pPr/>
      <w:r>
        <w:rPr>
          <w:lang w:val="en-GB"/>
        </w:rPr>
        <w:t xml:space="preserve"> 5. assess factors affecting risks to individuals in line with risk assessment processes, </w:t>
      </w:r>
    </w:p>
    <w:p>
      <w:pPr/>
      <w:r>
        <w:rPr>
          <w:lang w:val="en-GB"/>
        </w:rPr>
        <w:br/>
      </w:r>
    </w:p>
    <w:p>
      <w:pPr/>
      <w:r>
        <w:rPr>
          <w:lang w:val="en-GB"/>
        </w:rPr>
        <w:t xml:space="preserve"> 6. inform relevant others about urgent risk concerns to individuals in line with communication and reporting policies </w:t>
      </w:r>
    </w:p>
    <w:p>
      <w:pPr/>
      <w:r>
        <w:rPr>
          <w:lang w:val="en-GB"/>
        </w:rPr>
        <w:br/>
      </w:r>
    </w:p>
    <w:p>
      <w:pPr/>
      <w:r>
        <w:rPr>
          <w:lang w:val="en-GB"/>
        </w:rPr>
        <w:t xml:space="preserve"> 7. explain to individuals the potential outcomes of risk identified in line with organisational policies and procedures </w:t>
      </w:r>
    </w:p>
    <w:p>
      <w:pPr/>
      <w:r>
        <w:rPr>
          <w:lang w:val="en-GB"/>
        </w:rPr>
        <w:br/>
      </w:r>
    </w:p>
    <w:p>
      <w:pPr/>
      <w:r>
        <w:rPr>
          <w:lang w:val="en-GB"/>
        </w:rPr>
        <w:t xml:space="preserve"> 8. explore with individuals how the support you provide can help to reduce their risk of domestic abuse or sexual violence in line with policies and procedures </w:t>
      </w:r>
    </w:p>
    <w:p>
      <w:pPr/>
      <w:r>
        <w:rPr>
          <w:lang w:val="en-GB"/>
        </w:rPr>
        <w:br/>
      </w:r>
    </w:p>
    <w:p>
      <w:pPr/>
      <w:r>
        <w:rPr>
          <w:lang w:val="en-GB"/>
        </w:rPr>
        <w:t xml:space="preserve"> 9. identify actions that can reduce risk to individuals in line with your organisations policies and procedures </w:t>
      </w:r>
    </w:p>
    <w:p>
      <w:pPr/>
      <w:r>
        <w:rPr>
          <w:lang w:val="en-GB"/>
        </w:rPr>
        <w:br/>
      </w:r>
    </w:p>
    <w:p>
      <w:pPr/>
      <w:r>
        <w:rPr>
          <w:lang w:val="en-GB"/>
        </w:rPr>
        <w:t xml:space="preserve"> 10. encourage individuals to take action to avoid risk of domestic abuse or sexual violence in line with your role and responsibilities </w:t>
      </w:r>
    </w:p>
    <w:p>
      <w:pPr/>
      <w:r>
        <w:rPr>
          <w:lang w:val="en-GB"/>
        </w:rPr>
        <w:br/>
      </w:r>
    </w:p>
    <w:p>
      <w:pPr/>
      <w:r>
        <w:rPr>
          <w:lang w:val="en-GB"/>
        </w:rPr>
        <w:t xml:space="preserve"> 11. identify safeguarding measures to prevent further abuse of individuals in line with available guidance </w:t>
      </w:r>
    </w:p>
    <w:p>
      <w:pPr/>
      <w:r>
        <w:rPr>
          <w:lang w:val="en-GB"/>
        </w:rPr>
        <w:br/>
      </w:r>
    </w:p>
    <w:p>
      <w:pPr/>
      <w:r>
        <w:rPr>
          <w:lang w:val="en-GB"/>
        </w:rPr>
        <w:t xml:space="preserve"> 12. make referrals for identified safeguarding procedures as required to reduce risk to individuals in line with policies and procedures </w:t>
      </w:r>
    </w:p>
    <w:p>
      <w:pPr/>
      <w:r>
        <w:rPr>
          <w:lang w:val="en-GB"/>
        </w:rPr>
        <w:br/>
      </w:r>
    </w:p>
    <w:p>
      <w:pPr/>
      <w:r>
        <w:rPr>
          <w:lang w:val="en-GB"/>
        </w:rPr>
        <w:t xml:space="preserve"> 13. provide information to individuals which allows them to make informed choices about actions which can reduce their risk of domestic abuse or sexual violence </w:t>
      </w:r>
    </w:p>
    <w:p>
      <w:pPr/>
      <w:r>
        <w:rPr>
          <w:lang w:val="en-GB"/>
        </w:rPr>
        <w:br/>
      </w:r>
    </w:p>
    <w:p>
      <w:pPr/>
      <w:r>
        <w:rPr>
          <w:lang w:val="en-GB"/>
        </w:rPr>
        <w:t xml:space="preserve"> 14. explain to individuals why it may be necessary to go against their expressed wishes when making referrals in line with policies and procedures </w:t>
      </w:r>
    </w:p>
    <w:p>
      <w:pPr/>
      <w:r>
        <w:rPr>
          <w:lang w:val="en-GB"/>
        </w:rPr>
        <w:br/>
      </w:r>
    </w:p>
    <w:p>
      <w:pPr/>
      <w:r>
        <w:rPr>
          <w:lang w:val="en-GB"/>
        </w:rPr>
        <w:t xml:space="preserve"> 15. refer situations to others for further assessment when actions are outside your role and responsibilities </w:t>
      </w:r>
    </w:p>
    <w:p>
      <w:pPr/>
      <w:r>
        <w:rPr>
          <w:lang w:val="en-GB"/>
        </w:rPr>
        <w:br/>
      </w:r>
    </w:p>
    <w:p>
      <w:pPr/>
      <w:r>
        <w:rPr>
          <w:lang w:val="en-GB"/>
        </w:rPr>
        <w:t xml:space="preserve"> 16. communicate with individuals in appropriate and safe environments </w:t>
      </w:r>
    </w:p>
    <w:p>
      <w:pPr/>
      <w:r>
        <w:rPr>
          <w:lang w:val="en-GB"/>
        </w:rPr>
        <w:br/>
      </w:r>
    </w:p>
    <w:p>
      <w:pPr/>
      <w:r>
        <w:rPr>
          <w:lang w:val="en-GB"/>
        </w:rPr>
        <w:t xml:space="preserve"> 17. work with individuals in ways which support common understanding, and: </w:t>
      </w:r>
    </w:p>
    <w:p>
      <w:pPr/>
      <w:r>
        <w:rPr>
          <w:lang w:val="en-GB"/>
        </w:rPr>
        <w:br/>
      </w:r>
    </w:p>
    <w:p>
      <w:pPr/>
      <w:r>
        <w:rPr>
          <w:lang w:val="en-GB"/>
        </w:rPr>
        <w:t xml:space="preserve"> • encourages open and honest communication </w:t>
      </w:r>
    </w:p>
    <w:p>
      <w:pPr/>
      <w:r>
        <w:rPr>
          <w:lang w:val="en-GB"/>
        </w:rPr>
        <w:br/>
      </w:r>
    </w:p>
    <w:p>
      <w:pPr/>
      <w:r>
        <w:rPr>
          <w:lang w:val="en-GB"/>
        </w:rPr>
        <w:t xml:space="preserve"> • shows empathy to the individuals’ situation </w:t>
      </w:r>
    </w:p>
    <w:p>
      <w:pPr/>
      <w:r>
        <w:rPr>
          <w:lang w:val="en-GB"/>
        </w:rPr>
        <w:br/>
      </w:r>
    </w:p>
    <w:p>
      <w:pPr/>
      <w:r>
        <w:rPr>
          <w:lang w:val="en-GB"/>
        </w:rPr>
        <w:t xml:space="preserve"> 18. comply with legislative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2. relevant national and local guidelines, policies and procedures available and how and when they should be accessed </w:t>
      </w:r>
    </w:p>
    <w:p>
      <w:pPr/>
      <w:r>
        <w:rPr>
          <w:lang w:val="en-GB"/>
        </w:rPr>
        <w:br/>
      </w:r>
    </w:p>
    <w:p>
      <w:pPr/>
      <w:r>
        <w:rPr>
          <w:lang w:val="en-GB"/>
        </w:rPr>
        <w:t xml:space="preserve"> 3. the role of external agencies and stakeholders who provide services and support to individuals affected by domestic abuse or sexual violence in your area </w:t>
      </w:r>
    </w:p>
    <w:p>
      <w:pPr/>
      <w:r>
        <w:rPr>
          <w:lang w:val="en-GB"/>
        </w:rPr>
        <w:br/>
      </w:r>
    </w:p>
    <w:p>
      <w:pPr/>
      <w:r>
        <w:rPr>
          <w:lang w:val="en-GB"/>
        </w:rPr>
        <w:t xml:space="preserve"> 4. the limits of your authority, responsibility and professional competence </w:t>
      </w:r>
    </w:p>
    <w:p>
      <w:pPr/>
      <w:r>
        <w:rPr>
          <w:lang w:val="en-GB"/>
        </w:rPr>
        <w:br/>
      </w:r>
    </w:p>
    <w:p>
      <w:pPr/>
      <w:r>
        <w:rPr>
          <w:lang w:val="en-GB"/>
        </w:rPr>
        <w:t xml:space="preserve"> 5. who to inform when you are unable to support individuals within your role and authority </w:t>
      </w:r>
    </w:p>
    <w:p>
      <w:pPr/>
      <w:r>
        <w:rPr>
          <w:lang w:val="en-GB"/>
        </w:rPr>
        <w:br/>
      </w:r>
    </w:p>
    <w:p>
      <w:pPr/>
      <w:r>
        <w:rPr>
          <w:lang w:val="en-GB"/>
        </w:rPr>
        <w:t xml:space="preserve"> 6. professional support and services available to individuals when the professional competence of your role may be exceeded </w:t>
      </w:r>
    </w:p>
    <w:p>
      <w:pPr/>
      <w:r>
        <w:rPr>
          <w:lang w:val="en-GB"/>
        </w:rPr>
        <w:br/>
      </w:r>
    </w:p>
    <w:p>
      <w:pPr/>
      <w:r>
        <w:rPr>
          <w:lang w:val="en-GB"/>
        </w:rPr>
        <w:t xml:space="preserve"> 7. different styles and forms of communication and how to adapt them to meet the needs of the individual </w:t>
      </w:r>
    </w:p>
    <w:p>
      <w:pPr/>
      <w:r>
        <w:rPr>
          <w:lang w:val="en-GB"/>
        </w:rPr>
        <w:br/>
      </w:r>
    </w:p>
    <w:p>
      <w:pPr/>
      <w:r>
        <w:rPr>
          <w:lang w:val="en-GB"/>
        </w:rPr>
        <w:t xml:space="preserve"> 8. common barriers to communication and ways to overcome them </w:t>
      </w:r>
    </w:p>
    <w:p>
      <w:pPr/>
      <w:r>
        <w:rPr>
          <w:lang w:val="en-GB"/>
        </w:rPr>
        <w:br/>
      </w:r>
    </w:p>
    <w:p>
      <w:pPr/>
      <w:r>
        <w:rPr>
          <w:lang w:val="en-GB"/>
        </w:rPr>
        <w:t xml:space="preserve"> 9. individuals’ feelings and reactions which may hinder their ability to discuss their experiences </w:t>
      </w:r>
    </w:p>
    <w:p>
      <w:pPr/>
      <w:r>
        <w:rPr>
          <w:lang w:val="en-GB"/>
        </w:rPr>
        <w:br/>
      </w:r>
    </w:p>
    <w:p>
      <w:pPr/>
      <w:r>
        <w:rPr>
          <w:lang w:val="en-GB"/>
        </w:rPr>
        <w:t xml:space="preserve"> 10. the importance of building trust and empathy with individuals and methods to achieve this </w:t>
      </w:r>
    </w:p>
    <w:p>
      <w:pPr/>
      <w:r>
        <w:rPr>
          <w:lang w:val="en-GB"/>
        </w:rPr>
        <w:br/>
      </w:r>
    </w:p>
    <w:p>
      <w:pPr/>
      <w:r>
        <w:rPr>
          <w:lang w:val="en-GB"/>
        </w:rPr>
        <w:t xml:space="preserve"> 11. the importance of treating individuals with sensitivity, flexibility and respect </w:t>
      </w:r>
    </w:p>
    <w:p>
      <w:pPr/>
      <w:r>
        <w:rPr>
          <w:lang w:val="en-GB"/>
        </w:rPr>
        <w:br/>
      </w:r>
    </w:p>
    <w:p>
      <w:pPr/>
      <w:r>
        <w:rPr>
          <w:lang w:val="en-GB"/>
        </w:rPr>
        <w:t xml:space="preserve"> 12. the impact your values and beliefs can have on your engagement with individuals </w:t>
      </w:r>
    </w:p>
    <w:p>
      <w:pPr/>
      <w:r>
        <w:rPr>
          <w:lang w:val="en-GB"/>
        </w:rPr>
        <w:br/>
      </w:r>
    </w:p>
    <w:p>
      <w:pPr/>
      <w:r>
        <w:rPr>
          <w:lang w:val="en-GB"/>
        </w:rPr>
        <w:t xml:space="preserve"> 13. the importance of and how to avoid risk when engaging with and supporting individuals, including safe locations and appropriate use of electronic communication </w:t>
      </w:r>
    </w:p>
    <w:p>
      <w:pPr/>
      <w:r>
        <w:rPr>
          <w:lang w:val="en-GB"/>
        </w:rPr>
        <w:br/>
      </w:r>
    </w:p>
    <w:p>
      <w:pPr/>
      <w:r>
        <w:rPr>
          <w:lang w:val="en-GB"/>
        </w:rPr>
        <w:t xml:space="preserve"> 14. the importance of challenging discriminatory or potentially damaging attitudes and behaviour and how to do so </w:t>
      </w:r>
    </w:p>
    <w:p>
      <w:pPr/>
      <w:r>
        <w:rPr>
          <w:lang w:val="en-GB"/>
        </w:rPr>
        <w:br/>
      </w:r>
    </w:p>
    <w:p>
      <w:pPr/>
      <w:r>
        <w:rPr>
          <w:lang w:val="en-GB"/>
        </w:rPr>
        <w:t xml:space="preserve"> 15. the role and impact of in relation to domestic abuse or sexual violence </w:t>
      </w:r>
    </w:p>
    <w:p>
      <w:pPr/>
      <w:r>
        <w:rPr>
          <w:lang w:val="en-GB"/>
        </w:rPr>
        <w:br/>
      </w:r>
    </w:p>
    <w:p>
      <w:pPr/>
      <w:r>
        <w:rPr>
          <w:lang w:val="en-GB"/>
        </w:rPr>
        <w:t xml:space="preserve"> 16. what constitutes domestic abuse or sexual violence, and its prevalence in the community </w:t>
      </w:r>
    </w:p>
    <w:p>
      <w:pPr/>
      <w:r>
        <w:rPr>
          <w:lang w:val="en-GB"/>
        </w:rPr>
        <w:br/>
      </w:r>
    </w:p>
    <w:p>
      <w:pPr/>
      <w:r>
        <w:rPr>
          <w:lang w:val="en-GB"/>
        </w:rPr>
        <w:t xml:space="preserve"> 17. what constitutes re-victimisation and the factors that can accelerate this </w:t>
      </w:r>
    </w:p>
    <w:p>
      <w:pPr/>
      <w:r>
        <w:rPr>
          <w:lang w:val="en-GB"/>
        </w:rPr>
        <w:br/>
      </w:r>
    </w:p>
    <w:p>
      <w:pPr/>
      <w:r>
        <w:rPr>
          <w:lang w:val="en-GB"/>
        </w:rPr>
        <w:t xml:space="preserve"> 18. how to apply trauma informed practice in your area of work </w:t>
      </w:r>
    </w:p>
    <w:p>
      <w:pPr/>
      <w:r>
        <w:rPr>
          <w:lang w:val="en-GB"/>
        </w:rPr>
        <w:br/>
      </w:r>
    </w:p>
    <w:p>
      <w:pPr/>
      <w:r>
        <w:rPr>
          <w:lang w:val="en-GB"/>
        </w:rPr>
        <w:t xml:space="preserve"> 19. different trauma responses and their impact </w:t>
      </w:r>
    </w:p>
    <w:p>
      <w:pPr/>
      <w:r>
        <w:rPr>
          <w:lang w:val="en-GB"/>
        </w:rPr>
        <w:br/>
      </w:r>
    </w:p>
    <w:p>
      <w:pPr/>
      <w:r>
        <w:rPr>
          <w:lang w:val="en-GB"/>
        </w:rPr>
        <w:t xml:space="preserve"> 20. what constitutes grooming of individuals and how it can be identified </w:t>
      </w:r>
    </w:p>
    <w:p>
      <w:pPr/>
      <w:r>
        <w:rPr>
          <w:lang w:val="en-GB"/>
        </w:rPr>
        <w:br/>
      </w:r>
    </w:p>
    <w:p>
      <w:pPr/>
      <w:r>
        <w:rPr>
          <w:lang w:val="en-GB"/>
        </w:rPr>
        <w:t xml:space="preserve"> 21. what is meant by secondary victimisation and the impact on individuals </w:t>
      </w:r>
    </w:p>
    <w:p>
      <w:pPr/>
      <w:r>
        <w:rPr>
          <w:lang w:val="en-GB"/>
        </w:rPr>
        <w:br/>
      </w:r>
    </w:p>
    <w:p>
      <w:pPr/>
      <w:r>
        <w:rPr>
          <w:lang w:val="en-GB"/>
        </w:rPr>
        <w:t xml:space="preserve"> 22. factors that inform your understanding of individuals’ situations, including: </w:t>
      </w:r>
    </w:p>
    <w:p>
      <w:pPr/>
      <w:r>
        <w:rPr>
          <w:lang w:val="en-GB"/>
        </w:rPr>
        <w:br/>
      </w:r>
    </w:p>
    <w:p>
      <w:pPr/>
      <w:r>
        <w:rPr>
          <w:lang w:val="en-GB"/>
        </w:rPr>
        <w:t xml:space="preserve"> 23. relationship with abuser or abusers </w:t>
      </w:r>
    </w:p>
    <w:p>
      <w:pPr/>
      <w:r>
        <w:rPr>
          <w:lang w:val="en-GB"/>
        </w:rPr>
        <w:br/>
      </w:r>
    </w:p>
    <w:p>
      <w:pPr/>
      <w:r>
        <w:rPr>
          <w:lang w:val="en-GB"/>
        </w:rPr>
        <w:t xml:space="preserve"> 24. living arrangements and environment </w:t>
      </w:r>
    </w:p>
    <w:p>
      <w:pPr/>
      <w:r>
        <w:rPr>
          <w:lang w:val="en-GB"/>
        </w:rPr>
        <w:br/>
      </w:r>
    </w:p>
    <w:p>
      <w:pPr/>
      <w:r>
        <w:rPr>
          <w:lang w:val="en-GB"/>
        </w:rPr>
        <w:t xml:space="preserve"> a. family and personal situations </w:t>
      </w:r>
    </w:p>
    <w:p>
      <w:pPr/>
      <w:r>
        <w:rPr>
          <w:lang w:val="en-GB"/>
        </w:rPr>
        <w:br/>
      </w:r>
    </w:p>
    <w:p>
      <w:pPr/>
      <w:r>
        <w:rPr>
          <w:lang w:val="en-GB"/>
        </w:rPr>
        <w:t xml:space="preserve"> b. financial situation </w:t>
      </w:r>
    </w:p>
    <w:p>
      <w:pPr/>
      <w:r>
        <w:rPr>
          <w:lang w:val="en-GB"/>
        </w:rPr>
        <w:br/>
      </w:r>
    </w:p>
    <w:p>
      <w:pPr/>
      <w:r>
        <w:rPr>
          <w:lang w:val="en-GB"/>
        </w:rPr>
        <w:t xml:space="preserve"> c. physical and mental health </w:t>
      </w:r>
    </w:p>
    <w:p>
      <w:pPr/>
      <w:r>
        <w:rPr>
          <w:lang w:val="en-GB"/>
        </w:rPr>
        <w:br/>
      </w:r>
    </w:p>
    <w:p>
      <w:pPr/>
      <w:r>
        <w:rPr>
          <w:lang w:val="en-GB"/>
        </w:rPr>
        <w:t xml:space="preserve"> d. their attitudes, beliefs, confidence and needs </w:t>
      </w:r>
    </w:p>
    <w:p>
      <w:pPr/>
      <w:r>
        <w:rPr>
          <w:lang w:val="en-GB"/>
        </w:rPr>
        <w:br/>
      </w:r>
    </w:p>
    <w:p>
      <w:pPr/>
      <w:r>
        <w:rPr>
          <w:lang w:val="en-GB"/>
        </w:rPr>
        <w:t xml:space="preserve"> 25. factors that increase risk to individuals, including use of online media </w:t>
      </w:r>
    </w:p>
    <w:p>
      <w:pPr/>
      <w:r>
        <w:rPr>
          <w:lang w:val="en-GB"/>
        </w:rPr>
        <w:br/>
      </w:r>
    </w:p>
    <w:p>
      <w:pPr/>
      <w:r>
        <w:rPr>
          <w:lang w:val="en-GB"/>
        </w:rPr>
        <w:t xml:space="preserve"> 26. how risk can be reduced or avoided, including through referrals </w:t>
      </w:r>
    </w:p>
    <w:p>
      <w:pPr/>
      <w:r>
        <w:rPr>
          <w:lang w:val="en-GB"/>
        </w:rPr>
        <w:br/>
      </w:r>
    </w:p>
    <w:p>
      <w:pPr/>
      <w:r>
        <w:rPr>
          <w:lang w:val="en-GB"/>
        </w:rPr>
        <w:t xml:space="preserve"> 27. factors that affect secondary victimisation and how to identify these </w:t>
      </w:r>
    </w:p>
    <w:p>
      <w:pPr/>
      <w:r>
        <w:rPr>
          <w:lang w:val="en-GB"/>
        </w:rPr>
        <w:br/>
      </w:r>
    </w:p>
    <w:p>
      <w:pPr/>
      <w:r>
        <w:rPr>
          <w:lang w:val="en-GB"/>
        </w:rPr>
        <w:t xml:space="preserve"> 28. different types and sources of information relevant to individuals affected by domestic abuse or sexual violence and how to access them </w:t>
      </w:r>
    </w:p>
    <w:p>
      <w:pPr/>
      <w:r>
        <w:rPr>
          <w:lang w:val="en-GB"/>
        </w:rPr>
        <w:br/>
      </w:r>
    </w:p>
    <w:p>
      <w:pPr/>
      <w:r>
        <w:rPr>
          <w:lang w:val="en-GB"/>
        </w:rPr>
        <w:t xml:space="preserve"> 29. common information and support needs of individuals affected by domestic abuse or sexual violence </w:t>
      </w:r>
    </w:p>
    <w:p>
      <w:pPr/>
      <w:r>
        <w:rPr>
          <w:lang w:val="en-GB"/>
        </w:rPr>
        <w:br/>
      </w:r>
    </w:p>
    <w:p>
      <w:pPr/>
      <w:r>
        <w:rPr>
          <w:lang w:val="en-GB"/>
        </w:rPr>
        <w:t xml:space="preserve"> 30. actions required where disclosure of abuse is identified </w:t>
      </w:r>
    </w:p>
    <w:p>
      <w:pPr/>
      <w:r>
        <w:rPr>
          <w:lang w:val="en-GB"/>
        </w:rPr>
        <w:br/>
      </w:r>
    </w:p>
    <w:p>
      <w:pPr/>
      <w:r>
        <w:rPr>
          <w:lang w:val="en-GB"/>
        </w:rPr>
        <w:t xml:space="preserve"> 31. required safeguarding measures and procedures </w:t>
      </w:r>
    </w:p>
    <w:p>
      <w:pPr/>
      <w:r>
        <w:rPr>
          <w:lang w:val="en-GB"/>
        </w:rPr>
        <w:br/>
      </w:r>
    </w:p>
    <w:p>
      <w:pPr/>
      <w:r>
        <w:rPr>
          <w:lang w:val="en-GB"/>
        </w:rPr>
        <w:t xml:space="preserve"> 32. how to make referrals to access safeguarding measures and procedures including referrals to other organisations </w:t>
      </w:r>
    </w:p>
    <w:p>
      <w:pPr/>
      <w:r>
        <w:rPr>
          <w:lang w:val="en-GB"/>
        </w:rPr>
        <w:br/>
      </w:r>
    </w:p>
    <w:p>
      <w:pPr/>
      <w:r>
        <w:rPr>
          <w:lang w:val="en-GB"/>
        </w:rPr>
        <w:t xml:space="preserve"> 33. circumstances where it is necessary to go against individuals expressed wishes </w:t>
      </w:r>
    </w:p>
    <w:p>
      <w:pPr/>
      <w:r>
        <w:rPr>
          <w:lang w:val="en-GB"/>
        </w:rPr>
        <w:br/>
      </w:r>
    </w:p>
    <w:p>
      <w:pPr/>
      <w:r>
        <w:rPr>
          <w:lang w:val="en-GB"/>
        </w:rPr>
        <w:t xml:space="preserve"> 34. the importance of ensuring that individuals understand why their expressed wishes may not be met </w:t>
      </w:r>
    </w:p>
    <w:p>
      <w:pPr/>
      <w:r>
        <w:rPr>
          <w:lang w:val="en-GB"/>
        </w:rPr>
        <w:br/>
      </w:r>
    </w:p>
    <w:p>
      <w:pPr/>
      <w:r>
        <w:rPr>
          <w:lang w:val="en-GB"/>
        </w:rPr>
        <w:t xml:space="preserve"> 35. the processes and stages of the criminal justice system that individuals engage with </w:t>
      </w:r>
    </w:p>
    <w:p>
      <w:pPr/>
      <w:r>
        <w:rPr>
          <w:lang w:val="en-GB"/>
        </w:rPr>
        <w:br/>
      </w:r>
    </w:p>
    <w:p>
      <w:pPr/>
      <w:r>
        <w:rPr>
          <w:lang w:val="en-GB"/>
        </w:rPr>
        <w:t xml:space="preserve"> 36. how to share information in ways which allow individuals to make informed choices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SfJGK515</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advice; independent; advocacy; witnesses; risk; assessment; re-victimisation; abuse; individuals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23400c685d47c6" /><Relationship Type="http://schemas.openxmlformats.org/officeDocument/2006/relationships/numbering" Target="/word/numbering.xml" Id="R1349a5e776c940ff" /><Relationship Type="http://schemas.openxmlformats.org/officeDocument/2006/relationships/settings" Target="/word/settings.xml" Id="R1a57a927f17a4790" /><Relationship Type="http://schemas.openxmlformats.org/officeDocument/2006/relationships/image" Target="/word/media/6ca4cfcb-4599-4158-9787-5f35d4530791.png" Id="Rd8426d64d47e48ed" /></Relationships>
</file>