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bd7407124a46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SFJGK503</w:t>
            </w:r>
            <w:r>
              <w:rPr>
                <w:b/>
              </w:rPr>
              <w:br/>
            </w:r>
            <w:r>
              <w:rPr>
                <w:b/>
              </w:rPr>
              <w:t>Carry out an assessment to identify the needs of and risks to individuals affected by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d1eb2217e742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assessing the needs and risks to individuals affected by domestic abuse or sexual violence. It includes involving individuals in the assessment wherever possible, and agreeing the factors and needs to be addressed to enable them to make informed choices. </w:t>
      </w:r>
    </w:p>
    <w:p>
      <w:pPr/>
      <w:r>
        <w:rPr>
          <w:lang w:val="en-GB"/>
        </w:rPr>
        <w:br/>
      </w:r>
    </w:p>
    <w:p>
      <w:pPr/>
      <w:r>
        <w:rPr>
          <w:lang w:val="en-GB"/>
        </w:rPr>
        <w:t xml:space="preserve"> The resultant outcomes of assessment will inform the development and implementation of appropriate intervention plans, with this activity being addressed in separate, but related national occupational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explain your role and responsibility to individuals </w:t>
      </w:r>
    </w:p>
    <w:p>
      <w:pPr/>
      <w:r>
        <w:rPr>
          <w:lang w:val="en-GB"/>
        </w:rPr>
        <w:br/>
      </w:r>
    </w:p>
    <w:p>
      <w:pPr/>
      <w:r>
        <w:rPr>
          <w:lang w:val="en-GB"/>
        </w:rPr>
        <w:t xml:space="preserve"> 2. hold discussions with individuals in appropriate and safe environments </w:t>
      </w:r>
    </w:p>
    <w:p>
      <w:pPr/>
      <w:r>
        <w:rPr>
          <w:lang w:val="en-GB"/>
        </w:rPr>
        <w:br/>
      </w:r>
    </w:p>
    <w:p>
      <w:pPr/>
      <w:r>
        <w:rPr>
          <w:lang w:val="en-GB"/>
        </w:rPr>
        <w:t xml:space="preserve"> 3. explain to individuals your organisation's confidentiality policies, including circumstances when information must be divulged </w:t>
      </w:r>
    </w:p>
    <w:p>
      <w:pPr/>
      <w:r>
        <w:rPr>
          <w:lang w:val="en-GB"/>
        </w:rPr>
        <w:br/>
      </w:r>
    </w:p>
    <w:p>
      <w:pPr/>
      <w:r>
        <w:rPr>
          <w:lang w:val="en-GB"/>
        </w:rPr>
        <w:t xml:space="preserve"> 4. identify the nature and level of risk to individuals in line with organisational policies and procedures </w:t>
      </w:r>
    </w:p>
    <w:p>
      <w:pPr/>
      <w:r>
        <w:rPr>
          <w:lang w:val="en-GB"/>
        </w:rPr>
        <w:br/>
      </w:r>
    </w:p>
    <w:p>
      <w:pPr/>
      <w:r>
        <w:rPr>
          <w:lang w:val="en-GB"/>
        </w:rPr>
        <w:t xml:space="preserve"> 5. gather information from individuals to identify their needs in line with organisational policies and procedures </w:t>
      </w:r>
    </w:p>
    <w:p>
      <w:pPr/>
      <w:r>
        <w:rPr>
          <w:lang w:val="en-GB"/>
        </w:rPr>
        <w:br/>
      </w:r>
    </w:p>
    <w:p>
      <w:pPr/>
      <w:r>
        <w:rPr>
          <w:lang w:val="en-GB"/>
        </w:rPr>
        <w:t xml:space="preserve"> 6. assess the significance of individuals overall situation in line with organisational policies and procedures including: </w:t>
      </w:r>
    </w:p>
    <w:p>
      <w:pPr/>
      <w:r>
        <w:rPr>
          <w:lang w:val="en-GB"/>
        </w:rPr>
        <w:br/>
      </w:r>
    </w:p>
    <w:p>
      <w:pPr/>
      <w:r>
        <w:rPr>
          <w:lang w:val="en-GB"/>
        </w:rPr>
        <w:t xml:space="preserve"> • their social network </w:t>
      </w:r>
    </w:p>
    <w:p>
      <w:pPr/>
      <w:r>
        <w:rPr>
          <w:lang w:val="en-GB"/>
        </w:rPr>
        <w:br/>
      </w:r>
    </w:p>
    <w:p>
      <w:pPr/>
      <w:r>
        <w:rPr>
          <w:lang w:val="en-GB"/>
        </w:rPr>
        <w:t xml:space="preserve"> • emotional welfare </w:t>
      </w:r>
    </w:p>
    <w:p>
      <w:pPr/>
      <w:r>
        <w:rPr>
          <w:lang w:val="en-GB"/>
        </w:rPr>
        <w:br/>
      </w:r>
    </w:p>
    <w:p>
      <w:pPr/>
      <w:r>
        <w:rPr>
          <w:lang w:val="en-GB"/>
        </w:rPr>
        <w:t xml:space="preserve"> • psychological welfare </w:t>
      </w:r>
    </w:p>
    <w:p>
      <w:pPr/>
      <w:r>
        <w:rPr>
          <w:lang w:val="en-GB"/>
        </w:rPr>
        <w:br/>
      </w:r>
    </w:p>
    <w:p>
      <w:pPr/>
      <w:r>
        <w:rPr>
          <w:lang w:val="en-GB"/>
        </w:rPr>
        <w:t xml:space="preserve"> 7. complete risk assessments using appropriate assessment models, tools and guidance in line with organisational policies and procedures </w:t>
      </w:r>
    </w:p>
    <w:p>
      <w:pPr/>
      <w:r>
        <w:rPr>
          <w:lang w:val="en-GB"/>
        </w:rPr>
        <w:br/>
      </w:r>
    </w:p>
    <w:p>
      <w:pPr/>
      <w:r>
        <w:rPr>
          <w:lang w:val="en-GB"/>
        </w:rPr>
        <w:t xml:space="preserve"> 8. provide evidence to show the basis of decisions on the potential risk factors in line with organisational procedures </w:t>
      </w:r>
    </w:p>
    <w:p>
      <w:pPr/>
      <w:r>
        <w:rPr>
          <w:lang w:val="en-GB"/>
        </w:rPr>
        <w:br/>
      </w:r>
    </w:p>
    <w:p>
      <w:pPr/>
      <w:r>
        <w:rPr>
          <w:lang w:val="en-GB"/>
        </w:rPr>
        <w:t xml:space="preserve"> 9. explain to individuals the likely outcomes of the risk identified in line with organisational procedures </w:t>
      </w:r>
    </w:p>
    <w:p>
      <w:pPr/>
      <w:r>
        <w:rPr>
          <w:lang w:val="en-GB"/>
        </w:rPr>
        <w:br/>
      </w:r>
    </w:p>
    <w:p>
      <w:pPr/>
      <w:r>
        <w:rPr>
          <w:lang w:val="en-GB"/>
        </w:rPr>
        <w:t xml:space="preserve"> 10. determine factors that contribute and accelerate risk to individuals in line with policies and procedures </w:t>
      </w:r>
    </w:p>
    <w:p>
      <w:pPr/>
      <w:r>
        <w:rPr>
          <w:lang w:val="en-GB"/>
        </w:rPr>
        <w:br/>
      </w:r>
    </w:p>
    <w:p>
      <w:pPr/>
      <w:r>
        <w:rPr>
          <w:lang w:val="en-GB"/>
        </w:rPr>
        <w:t xml:space="preserve"> 11. identify measures which reduce risk to individuals and their family in line with organisational policies and procedures </w:t>
      </w:r>
    </w:p>
    <w:p>
      <w:pPr/>
      <w:r>
        <w:rPr>
          <w:lang w:val="en-GB"/>
        </w:rPr>
        <w:br/>
      </w:r>
    </w:p>
    <w:p>
      <w:pPr/>
      <w:r>
        <w:rPr>
          <w:lang w:val="en-GB"/>
        </w:rPr>
        <w:t xml:space="preserve"> 12. negotiate solutions with relevant others which reduce risk to individuals and their family, where relevant, in line with orgnaisational policies and procedures </w:t>
      </w:r>
    </w:p>
    <w:p>
      <w:pPr/>
      <w:r>
        <w:rPr>
          <w:lang w:val="en-GB"/>
        </w:rPr>
        <w:br/>
      </w:r>
    </w:p>
    <w:p>
      <w:pPr/>
      <w:r>
        <w:rPr>
          <w:lang w:val="en-GB"/>
        </w:rPr>
        <w:t xml:space="preserve"> 13. refer situations to others for more in-depth assessment of individuals needs, when required, in line with your organisation’s policies and procedures </w:t>
      </w:r>
    </w:p>
    <w:p>
      <w:pPr/>
      <w:r>
        <w:rPr>
          <w:lang w:val="en-GB"/>
        </w:rPr>
        <w:br/>
      </w:r>
    </w:p>
    <w:p>
      <w:pPr/>
      <w:r>
        <w:rPr>
          <w:lang w:val="en-GB"/>
        </w:rPr>
        <w:t xml:space="preserve"> 14. alert relevant others where you identify concerns regarding the risk of harm to individuals and their family, where relevant, in line with your organisation’s policies and procedures </w:t>
      </w:r>
    </w:p>
    <w:p>
      <w:pPr/>
      <w:r>
        <w:rPr>
          <w:lang w:val="en-GB"/>
        </w:rPr>
        <w:br/>
      </w:r>
    </w:p>
    <w:p>
      <w:pPr/>
      <w:r>
        <w:rPr>
          <w:lang w:val="en-GB"/>
        </w:rPr>
        <w:t xml:space="preserve"> 15. prioritise the immediate and long-term needs of individuals in line with organisational requirements </w:t>
      </w:r>
    </w:p>
    <w:p>
      <w:pPr/>
      <w:r>
        <w:rPr>
          <w:lang w:val="en-GB"/>
        </w:rPr>
        <w:br/>
      </w:r>
    </w:p>
    <w:p>
      <w:pPr/>
      <w:r>
        <w:rPr>
          <w:lang w:val="en-GB"/>
        </w:rPr>
        <w:t xml:space="preserve"> 16. explore with individuals the available options and the benefits and impact of options, in line with your organisation’s policies and procedures </w:t>
      </w:r>
    </w:p>
    <w:p>
      <w:pPr/>
      <w:r>
        <w:rPr>
          <w:lang w:val="en-GB"/>
        </w:rPr>
        <w:br/>
      </w:r>
    </w:p>
    <w:p>
      <w:pPr/>
      <w:r>
        <w:rPr>
          <w:lang w:val="en-GB"/>
        </w:rPr>
        <w:t xml:space="preserve"> 17. agree with individuals options of support which meet their needs in line with your organisation’s remit </w:t>
      </w:r>
    </w:p>
    <w:p>
      <w:pPr/>
      <w:r>
        <w:rPr>
          <w:lang w:val="en-GB"/>
        </w:rPr>
        <w:br/>
      </w:r>
    </w:p>
    <w:p>
      <w:pPr/>
      <w:r>
        <w:rPr>
          <w:lang w:val="en-GB"/>
        </w:rPr>
        <w:t xml:space="preserve"> 18. promote engagement with the criminal justice system in ways which encourage individuals to recognise the beneficial effects of doing so </w:t>
      </w:r>
    </w:p>
    <w:p>
      <w:pPr/>
      <w:r>
        <w:rPr>
          <w:lang w:val="en-GB"/>
        </w:rPr>
        <w:br/>
      </w:r>
    </w:p>
    <w:p>
      <w:pPr/>
      <w:r>
        <w:rPr>
          <w:lang w:val="en-GB"/>
        </w:rPr>
        <w:t xml:space="preserve"> 19. agree actions and timescales of support to meet the needs of individuals in line with your role and responsibilities </w:t>
      </w:r>
    </w:p>
    <w:p>
      <w:pPr/>
      <w:r>
        <w:rPr>
          <w:lang w:val="en-GB"/>
        </w:rPr>
        <w:br/>
      </w:r>
    </w:p>
    <w:p>
      <w:pPr/>
      <w:r>
        <w:rPr>
          <w:lang w:val="en-GB"/>
        </w:rPr>
        <w:t xml:space="preserve"> 20. discuss individuals needs assessment with relevant others in line with organisational requirements including sharing key issues, decisions and processes 21. maintain records in line with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the limits of your authority, responsibility and professional competence </w:t>
      </w:r>
    </w:p>
    <w:p>
      <w:pPr/>
      <w:r>
        <w:rPr>
          <w:lang w:val="en-GB"/>
        </w:rPr>
        <w:br/>
      </w:r>
    </w:p>
    <w:p>
      <w:pPr/>
      <w:r>
        <w:rPr>
          <w:lang w:val="en-GB"/>
        </w:rPr>
        <w:t xml:space="preserve"> 4. the importance of continuously reviewing risk and needs assessments when new information is made available </w:t>
      </w:r>
    </w:p>
    <w:p>
      <w:pPr/>
      <w:r>
        <w:rPr>
          <w:lang w:val="en-GB"/>
        </w:rPr>
        <w:br/>
      </w:r>
    </w:p>
    <w:p>
      <w:pPr/>
      <w:r>
        <w:rPr>
          <w:lang w:val="en-GB"/>
        </w:rPr>
        <w:t xml:space="preserve"> 5. who to inform when you are unable to support individuals within your role and authority </w:t>
      </w:r>
    </w:p>
    <w:p>
      <w:pPr/>
      <w:r>
        <w:rPr>
          <w:lang w:val="en-GB"/>
        </w:rPr>
        <w:br/>
      </w:r>
    </w:p>
    <w:p>
      <w:pPr/>
      <w:r>
        <w:rPr>
          <w:lang w:val="en-GB"/>
        </w:rPr>
        <w:t xml:space="preserve"> 6. what constitutes domestic abuse and sexual violence, and its prevalence in your local community </w:t>
      </w:r>
    </w:p>
    <w:p>
      <w:pPr/>
      <w:r>
        <w:rPr>
          <w:lang w:val="en-GB"/>
        </w:rPr>
        <w:br/>
      </w:r>
    </w:p>
    <w:p>
      <w:pPr/>
      <w:r>
        <w:rPr>
          <w:lang w:val="en-GB"/>
        </w:rPr>
        <w:t xml:space="preserve"> 7. the potential impact upon those affected by domestic abuse and sexual violence, including the individuals’ family </w:t>
      </w:r>
    </w:p>
    <w:p>
      <w:pPr/>
      <w:r>
        <w:rPr>
          <w:lang w:val="en-GB"/>
        </w:rPr>
        <w:br/>
      </w:r>
    </w:p>
    <w:p>
      <w:pPr/>
      <w:r>
        <w:rPr>
          <w:lang w:val="en-GB"/>
        </w:rPr>
        <w:t xml:space="preserve"> 8. the information and support needs of those affected by domestic abuse or sexual violence and how to meet these </w:t>
      </w:r>
    </w:p>
    <w:p>
      <w:pPr/>
      <w:r>
        <w:rPr>
          <w:lang w:val="en-GB"/>
        </w:rPr>
        <w:br/>
      </w:r>
    </w:p>
    <w:p>
      <w:pPr/>
      <w:r>
        <w:rPr>
          <w:lang w:val="en-GB"/>
        </w:rPr>
        <w:t xml:space="preserve"> 9. multi-agency arrangements for providing support and interventions for individuals in your area </w:t>
      </w:r>
    </w:p>
    <w:p>
      <w:pPr/>
      <w:r>
        <w:rPr>
          <w:lang w:val="en-GB"/>
        </w:rPr>
        <w:br/>
      </w:r>
    </w:p>
    <w:p>
      <w:pPr/>
      <w:r>
        <w:rPr>
          <w:lang w:val="en-GB"/>
        </w:rPr>
        <w:t xml:space="preserve"> 10. how to be sensitive and flexible in your approach, using techniques appropriate to the behaviour and attitude of individuals </w:t>
      </w:r>
    </w:p>
    <w:p>
      <w:pPr/>
      <w:r>
        <w:rPr>
          <w:lang w:val="en-GB"/>
        </w:rPr>
        <w:br/>
      </w:r>
    </w:p>
    <w:p>
      <w:pPr/>
      <w:r>
        <w:rPr>
          <w:lang w:val="en-GB"/>
        </w:rPr>
        <w:t xml:space="preserve"> 11. the role and impact of intersectionality in relation to domestic abuse and sexual violence </w:t>
      </w:r>
    </w:p>
    <w:p>
      <w:pPr/>
      <w:r>
        <w:rPr>
          <w:lang w:val="en-GB"/>
        </w:rPr>
        <w:br/>
      </w:r>
    </w:p>
    <w:p>
      <w:pPr/>
      <w:r>
        <w:rPr>
          <w:lang w:val="en-GB"/>
        </w:rPr>
        <w:t xml:space="preserve"> 12. risk and needs assessment tools, models and processes and how to select and use them </w:t>
      </w:r>
    </w:p>
    <w:p>
      <w:pPr/>
      <w:r>
        <w:rPr>
          <w:lang w:val="en-GB"/>
        </w:rPr>
        <w:br/>
      </w:r>
    </w:p>
    <w:p>
      <w:pPr/>
      <w:r>
        <w:rPr>
          <w:lang w:val="en-GB"/>
        </w:rPr>
        <w:t xml:space="preserve"> 13. the information required for making a comprehensive assessment of individuals needs and risks </w:t>
      </w:r>
    </w:p>
    <w:p>
      <w:pPr/>
      <w:r>
        <w:rPr>
          <w:lang w:val="en-GB"/>
        </w:rPr>
        <w:br/>
      </w:r>
    </w:p>
    <w:p>
      <w:pPr/>
      <w:r>
        <w:rPr>
          <w:lang w:val="en-GB"/>
        </w:rPr>
        <w:t xml:space="preserve"> 14. the importance of identifying risks associated with different communication methods when working with individuals including </w:t>
      </w:r>
    </w:p>
    <w:p>
      <w:pPr/>
      <w:r>
        <w:rPr>
          <w:lang w:val="en-GB"/>
        </w:rPr>
        <w:br/>
      </w:r>
    </w:p>
    <w:p>
      <w:pPr/>
      <w:r>
        <w:rPr>
          <w:lang w:val="en-GB"/>
        </w:rPr>
        <w:t xml:space="preserve"> • mobile phones </w:t>
      </w:r>
    </w:p>
    <w:p>
      <w:pPr/>
      <w:r>
        <w:rPr>
          <w:lang w:val="en-GB"/>
        </w:rPr>
        <w:br/>
      </w:r>
    </w:p>
    <w:p>
      <w:pPr/>
      <w:r>
        <w:rPr>
          <w:lang w:val="en-GB"/>
        </w:rPr>
        <w:t xml:space="preserve"> • use of social media </w:t>
      </w:r>
    </w:p>
    <w:p>
      <w:pPr/>
      <w:r>
        <w:rPr>
          <w:lang w:val="en-GB"/>
        </w:rPr>
        <w:br/>
      </w:r>
    </w:p>
    <w:p>
      <w:pPr/>
      <w:r>
        <w:rPr>
          <w:lang w:val="en-GB"/>
        </w:rPr>
        <w:t xml:space="preserve"> • electronic and virtual communication </w:t>
      </w:r>
    </w:p>
    <w:p>
      <w:pPr/>
      <w:r>
        <w:rPr>
          <w:lang w:val="en-GB"/>
        </w:rPr>
        <w:br/>
      </w:r>
    </w:p>
    <w:p>
      <w:pPr/>
      <w:r>
        <w:rPr>
          <w:lang w:val="en-GB"/>
        </w:rPr>
        <w:t xml:space="preserve"> 15. methods of verifying and corroborating information available </w:t>
      </w:r>
    </w:p>
    <w:p>
      <w:pPr/>
      <w:r>
        <w:rPr>
          <w:lang w:val="en-GB"/>
        </w:rPr>
        <w:br/>
      </w:r>
    </w:p>
    <w:p>
      <w:pPr/>
      <w:r>
        <w:rPr>
          <w:lang w:val="en-GB"/>
        </w:rPr>
        <w:t xml:space="preserve"> 16. how to distinguish between directly observed evidence, evidence from reliable sources and hearsay </w:t>
      </w:r>
    </w:p>
    <w:p>
      <w:pPr/>
      <w:r>
        <w:rPr>
          <w:lang w:val="en-GB"/>
        </w:rPr>
        <w:br/>
      </w:r>
    </w:p>
    <w:p>
      <w:pPr/>
      <w:r>
        <w:rPr>
          <w:lang w:val="en-GB"/>
        </w:rPr>
        <w:t xml:space="preserve"> 17. factors impacting on levels of risk to individuals, </w:t>
      </w:r>
    </w:p>
    <w:p>
      <w:pPr/>
      <w:r>
        <w:rPr>
          <w:lang w:val="en-GB"/>
        </w:rPr>
        <w:br/>
      </w:r>
    </w:p>
    <w:p>
      <w:pPr/>
      <w:r>
        <w:rPr>
          <w:lang w:val="en-GB"/>
        </w:rPr>
        <w:t xml:space="preserve"> 18. information required to identify individuals risk of; </w:t>
      </w:r>
    </w:p>
    <w:p>
      <w:pPr/>
      <w:r>
        <w:rPr>
          <w:lang w:val="en-GB"/>
        </w:rPr>
        <w:br/>
      </w:r>
    </w:p>
    <w:p>
      <w:pPr/>
      <w:r>
        <w:rPr>
          <w:lang w:val="en-GB"/>
        </w:rPr>
        <w:t xml:space="preserve"> • re-victimisation </w:t>
      </w:r>
    </w:p>
    <w:p>
      <w:pPr/>
      <w:r>
        <w:rPr>
          <w:lang w:val="en-GB"/>
        </w:rPr>
        <w:br/>
      </w:r>
    </w:p>
    <w:p>
      <w:pPr/>
      <w:r>
        <w:rPr>
          <w:lang w:val="en-GB"/>
        </w:rPr>
        <w:t xml:space="preserve"> • coercion </w:t>
      </w:r>
    </w:p>
    <w:p>
      <w:pPr/>
      <w:r>
        <w:rPr>
          <w:lang w:val="en-GB"/>
        </w:rPr>
        <w:br/>
      </w:r>
    </w:p>
    <w:p>
      <w:pPr/>
      <w:r>
        <w:rPr>
          <w:lang w:val="en-GB"/>
        </w:rPr>
        <w:t xml:space="preserve"> 19. the importance of assessing factors that increase risk of harm and abuse to others by perpetrators </w:t>
      </w:r>
    </w:p>
    <w:p>
      <w:pPr/>
      <w:r>
        <w:rPr>
          <w:lang w:val="en-GB"/>
        </w:rPr>
        <w:br/>
      </w:r>
    </w:p>
    <w:p>
      <w:pPr/>
      <w:r>
        <w:rPr>
          <w:lang w:val="en-GB"/>
        </w:rPr>
        <w:t xml:space="preserve"> 20. actions required when you identify risk of harm and abuse to others by individuals </w:t>
      </w:r>
    </w:p>
    <w:p>
      <w:pPr/>
      <w:r>
        <w:rPr>
          <w:lang w:val="en-GB"/>
        </w:rPr>
        <w:br/>
      </w:r>
    </w:p>
    <w:p>
      <w:pPr/>
      <w:r>
        <w:rPr>
          <w:lang w:val="en-GB"/>
        </w:rPr>
        <w:t xml:space="preserve"> 21. circumstances requiring additional assessments and how to arrange these </w:t>
      </w:r>
    </w:p>
    <w:p>
      <w:pPr/>
      <w:r>
        <w:rPr>
          <w:lang w:val="en-GB"/>
        </w:rPr>
        <w:br/>
      </w:r>
    </w:p>
    <w:p>
      <w:pPr/>
      <w:r>
        <w:rPr>
          <w:lang w:val="en-GB"/>
        </w:rPr>
        <w:t xml:space="preserve"> 22. how to progress support when individuals are at risk </w:t>
      </w:r>
    </w:p>
    <w:p>
      <w:pPr/>
      <w:r>
        <w:rPr>
          <w:lang w:val="en-GB"/>
        </w:rPr>
        <w:br/>
      </w:r>
    </w:p>
    <w:p>
      <w:pPr/>
      <w:r>
        <w:rPr>
          <w:lang w:val="en-GB"/>
        </w:rPr>
        <w:t xml:space="preserve"> 23. the importance of, and methods for, building trust and empathy with individuals </w:t>
      </w:r>
    </w:p>
    <w:p>
      <w:pPr/>
      <w:r>
        <w:rPr>
          <w:lang w:val="en-GB"/>
        </w:rPr>
        <w:br/>
      </w:r>
    </w:p>
    <w:p>
      <w:pPr/>
      <w:r>
        <w:rPr>
          <w:lang w:val="en-GB"/>
        </w:rPr>
        <w:t xml:space="preserve"> 24. how to create an environment that puts individuals at ease </w:t>
      </w:r>
    </w:p>
    <w:p>
      <w:pPr/>
      <w:r>
        <w:rPr>
          <w:lang w:val="en-GB"/>
        </w:rPr>
        <w:br/>
      </w:r>
    </w:p>
    <w:p>
      <w:pPr/>
      <w:r>
        <w:rPr>
          <w:lang w:val="en-GB"/>
        </w:rPr>
        <w:t xml:space="preserve"> 25. how to apply trauma informed practice in your area of work </w:t>
      </w:r>
    </w:p>
    <w:p>
      <w:pPr/>
      <w:r>
        <w:rPr>
          <w:lang w:val="en-GB"/>
        </w:rPr>
        <w:br/>
      </w:r>
    </w:p>
    <w:p>
      <w:pPr/>
      <w:r>
        <w:rPr>
          <w:lang w:val="en-GB"/>
        </w:rPr>
        <w:t xml:space="preserve"> 26. different trauma responses and their impact </w:t>
      </w:r>
    </w:p>
    <w:p>
      <w:pPr/>
      <w:r>
        <w:rPr>
          <w:lang w:val="en-GB"/>
        </w:rPr>
        <w:br/>
      </w:r>
    </w:p>
    <w:p>
      <w:pPr/>
      <w:r>
        <w:rPr>
          <w:lang w:val="en-GB"/>
        </w:rPr>
        <w:t xml:space="preserve"> 27. how to apply a needs led, strength based approach specific to meet the needs of the individual </w:t>
      </w:r>
    </w:p>
    <w:p>
      <w:pPr/>
      <w:r>
        <w:rPr>
          <w:lang w:val="en-GB"/>
        </w:rPr>
        <w:br/>
      </w:r>
    </w:p>
    <w:p>
      <w:pPr/>
      <w:r>
        <w:rPr>
          <w:lang w:val="en-GB"/>
        </w:rPr>
        <w:t xml:space="preserve"> 28. how intersectionality impacts on how an individual experiences services </w:t>
      </w:r>
    </w:p>
    <w:p>
      <w:pPr/>
      <w:r>
        <w:rPr>
          <w:lang w:val="en-GB"/>
        </w:rPr>
        <w:br/>
      </w:r>
    </w:p>
    <w:p>
      <w:pPr/>
      <w:r>
        <w:rPr>
          <w:lang w:val="en-GB"/>
        </w:rPr>
        <w:t xml:space="preserve"> 29. methods and techniques for encouraging individuals to engage with the support provided </w:t>
      </w:r>
    </w:p>
    <w:p>
      <w:pPr/>
      <w:r>
        <w:rPr>
          <w:lang w:val="en-GB"/>
        </w:rPr>
        <w:br/>
      </w:r>
    </w:p>
    <w:p>
      <w:pPr/>
      <w:r>
        <w:rPr>
          <w:lang w:val="en-GB"/>
        </w:rPr>
        <w:t xml:space="preserve"> 30. different styles and forms of communication and how to adapt them to meet the needs of the individual </w:t>
      </w:r>
    </w:p>
    <w:p>
      <w:pPr/>
      <w:r>
        <w:rPr>
          <w:lang w:val="en-GB"/>
        </w:rPr>
        <w:br/>
      </w:r>
    </w:p>
    <w:p>
      <w:pPr/>
      <w:r>
        <w:rPr>
          <w:lang w:val="en-GB"/>
        </w:rPr>
        <w:t xml:space="preserve"> 31. the importance of non-verbal communication, such as body language and active listening </w:t>
      </w:r>
    </w:p>
    <w:p>
      <w:pPr/>
      <w:r>
        <w:rPr>
          <w:lang w:val="en-GB"/>
        </w:rPr>
        <w:br/>
      </w:r>
    </w:p>
    <w:p>
      <w:pPr/>
      <w:r>
        <w:rPr>
          <w:lang w:val="en-GB"/>
        </w:rPr>
        <w:t xml:space="preserve"> 32. how different cultures use and interpret body language </w:t>
      </w:r>
    </w:p>
    <w:p>
      <w:pPr/>
      <w:r>
        <w:rPr>
          <w:lang w:val="en-GB"/>
        </w:rPr>
        <w:br/>
      </w:r>
    </w:p>
    <w:p>
      <w:pPr/>
      <w:r>
        <w:rPr>
          <w:lang w:val="en-GB"/>
        </w:rPr>
        <w:t xml:space="preserve"> 33. common barriers to communication and ways to overcome them </w:t>
      </w:r>
    </w:p>
    <w:p>
      <w:pPr/>
      <w:r>
        <w:rPr>
          <w:lang w:val="en-GB"/>
        </w:rPr>
        <w:br/>
      </w:r>
    </w:p>
    <w:p>
      <w:pPr/>
      <w:r>
        <w:rPr>
          <w:lang w:val="en-GB"/>
        </w:rPr>
        <w:t xml:space="preserve"> 34. the importance of being aware of your values and beliefs and the impact they may have when working with perpetrators and individuals </w:t>
      </w:r>
    </w:p>
    <w:p>
      <w:pPr/>
      <w:r>
        <w:rPr>
          <w:lang w:val="en-GB"/>
        </w:rPr>
        <w:br/>
      </w:r>
    </w:p>
    <w:p>
      <w:pPr/>
      <w:r>
        <w:rPr>
          <w:lang w:val="en-GB"/>
        </w:rPr>
        <w:t xml:space="preserve"> 35. how to challenge discriminatory or potentially damaging attitudes and behaviour and the importance of doing so </w:t>
      </w:r>
    </w:p>
    <w:p>
      <w:pPr/>
      <w:r>
        <w:rPr>
          <w:lang w:val="en-GB"/>
        </w:rPr>
        <w:br/>
      </w:r>
    </w:p>
    <w:p>
      <w:pPr/>
      <w:r>
        <w:rPr>
          <w:lang w:val="en-GB"/>
        </w:rPr>
        <w:t xml:space="preserve"> 36. circumstances where it is necessary to go against individuals expressed wishes </w:t>
      </w:r>
    </w:p>
    <w:p>
      <w:pPr/>
      <w:r>
        <w:rPr>
          <w:lang w:val="en-GB"/>
        </w:rPr>
        <w:br/>
      </w:r>
    </w:p>
    <w:p>
      <w:pPr/>
      <w:r>
        <w:rPr>
          <w:lang w:val="en-GB"/>
        </w:rPr>
        <w:t xml:space="preserve"> 37. the importance of ensuring that individuals understand why their expressed wishes may not be met </w:t>
      </w:r>
    </w:p>
    <w:p>
      <w:pPr/>
      <w:r>
        <w:rPr>
          <w:lang w:val="en-GB"/>
        </w:rPr>
        <w:br/>
      </w:r>
    </w:p>
    <w:p>
      <w:pPr/>
      <w:r>
        <w:rPr>
          <w:lang w:val="en-GB"/>
        </w:rPr>
        <w:t xml:space="preserve"> 38. limits of confidentiality applying to your role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SfJGK503</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clients; service users; violence; assess; professional standards; confidentiality; negotiate; interventions; support; vulnerability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ad1f19e2da4a64" /><Relationship Type="http://schemas.openxmlformats.org/officeDocument/2006/relationships/numbering" Target="/word/numbering.xml" Id="R041b01671b4c44ee" /><Relationship Type="http://schemas.openxmlformats.org/officeDocument/2006/relationships/settings" Target="/word/settings.xml" Id="R8483624b273a403e" /><Relationship Type="http://schemas.openxmlformats.org/officeDocument/2006/relationships/image" Target="/word/media/d896dd6d-9641-49f2-892b-c6d74925f5d5.png" Id="R48d1eb2217e7428e" /></Relationships>
</file>