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2f52c7f63b43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SFJGK301</w:t>
            </w:r>
            <w:r>
              <w:rPr>
                <w:b/>
              </w:rPr>
              <w:br/>
            </w:r>
            <w:r>
              <w:rPr>
                <w:b/>
              </w:rPr>
              <w:t>Provide support to individuals forced into marriage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fb45f2884e41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your ability to identify individuals who are forced into marriage and provide them with support. Such support can include referral to an appropriate supporting agency. </w:t>
      </w:r>
    </w:p>
    <w:p>
      <w:pPr/>
      <w:r>
        <w:rPr>
          <w:lang w:val="en-GB"/>
        </w:rPr>
        <w:br/>
      </w:r>
    </w:p>
    <w:p>
      <w:pPr/>
      <w:r>
        <w:rPr>
          <w:lang w:val="en-GB"/>
        </w:rPr>
        <w:t xml:space="preserve"> Further standards address undertaking full risk assessments and interventions designed to protect the health, safety, and wellbeing of such individuals. </w:t>
      </w:r>
    </w:p>
    <w:p>
      <w:pPr/>
      <w:r>
        <w:rPr>
          <w:lang w:val="en-GB"/>
        </w:rPr>
        <w:br/>
      </w:r>
    </w:p>
    <w:p>
      <w:pPr/>
      <w:r>
        <w:rPr>
          <w:lang w:val="en-GB"/>
        </w:rPr>
        <w:t xml:space="preserve"> It is recognised that victims of forced marriages can be young people under the age of 18 or individuals at risk over the age of 18. </w:t>
      </w:r>
    </w:p>
    <w:p>
      <w:pPr/>
      <w:r>
        <w:rPr>
          <w:lang w:val="en-GB"/>
        </w:rPr>
        <w:br/>
      </w:r>
    </w:p>
    <w:p>
      <w:pPr/>
      <w:r>
        <w:rPr>
          <w:lang w:val="en-GB"/>
        </w:rPr>
        <w:t xml:space="preserve"> This standard is for practitioners who support those forced into marriage and experiencing domestic abuse or sexual violence.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observe individuals to identify signs which can indicate a potential victim of forced marriage </w:t>
      </w:r>
    </w:p>
    <w:p>
      <w:pPr/>
      <w:r>
        <w:rPr>
          <w:lang w:val="en-GB"/>
        </w:rPr>
        <w:br/>
      </w:r>
    </w:p>
    <w:p>
      <w:pPr/>
      <w:r>
        <w:rPr>
          <w:lang w:val="en-GB"/>
        </w:rPr>
        <w:t xml:space="preserve"> 2. discuss with individuals their situation and needs in an appropriate and safe environment </w:t>
      </w:r>
    </w:p>
    <w:p>
      <w:pPr/>
      <w:r>
        <w:rPr>
          <w:lang w:val="en-GB"/>
        </w:rPr>
        <w:br/>
      </w:r>
    </w:p>
    <w:p>
      <w:pPr/>
      <w:r>
        <w:rPr>
          <w:lang w:val="en-GB"/>
        </w:rPr>
        <w:t xml:space="preserve"> 3. communicate with individuals in ways which meet their needs and abilities in line with organisational policies and procedures </w:t>
      </w:r>
    </w:p>
    <w:p>
      <w:pPr/>
      <w:r>
        <w:rPr>
          <w:lang w:val="en-GB"/>
        </w:rPr>
        <w:br/>
      </w:r>
    </w:p>
    <w:p>
      <w:pPr/>
      <w:r>
        <w:rPr>
          <w:lang w:val="en-GB"/>
        </w:rPr>
        <w:t xml:space="preserve"> 4. assess available information to identify individuals forced into marriage including: </w:t>
      </w:r>
    </w:p>
    <w:p>
      <w:pPr/>
      <w:r>
        <w:rPr>
          <w:lang w:val="en-GB"/>
        </w:rPr>
        <w:br/>
      </w:r>
    </w:p>
    <w:p>
      <w:pPr/>
      <w:r>
        <w:rPr>
          <w:lang w:val="en-GB"/>
        </w:rPr>
        <w:t xml:space="preserve"> • indications of individuals affected by forced marriage </w:t>
      </w:r>
    </w:p>
    <w:p>
      <w:pPr/>
      <w:r>
        <w:rPr>
          <w:lang w:val="en-GB"/>
        </w:rPr>
        <w:br/>
      </w:r>
    </w:p>
    <w:p>
      <w:pPr/>
      <w:r>
        <w:rPr>
          <w:lang w:val="en-GB"/>
        </w:rPr>
        <w:t xml:space="preserve"> • identify where evidence is sufficient to warrant further exploration </w:t>
      </w:r>
    </w:p>
    <w:p>
      <w:pPr/>
      <w:r>
        <w:rPr>
          <w:lang w:val="en-GB"/>
        </w:rPr>
        <w:br/>
      </w:r>
    </w:p>
    <w:p>
      <w:pPr/>
      <w:r>
        <w:rPr>
          <w:lang w:val="en-GB"/>
        </w:rPr>
        <w:t xml:space="preserve"> 5. assess risks to individuals which affect their safety, health and wellbeing in line with organisational policies and procedures </w:t>
      </w:r>
    </w:p>
    <w:p>
      <w:pPr/>
      <w:r>
        <w:rPr>
          <w:lang w:val="en-GB"/>
        </w:rPr>
        <w:br/>
      </w:r>
    </w:p>
    <w:p>
      <w:pPr/>
      <w:r>
        <w:rPr>
          <w:lang w:val="en-GB"/>
        </w:rPr>
        <w:t xml:space="preserve"> 6. explain the support options available in line with organisational policies and procedures </w:t>
      </w:r>
    </w:p>
    <w:p>
      <w:pPr/>
      <w:r>
        <w:rPr>
          <w:lang w:val="en-GB"/>
        </w:rPr>
        <w:br/>
      </w:r>
    </w:p>
    <w:p>
      <w:pPr/>
      <w:r>
        <w:rPr>
          <w:lang w:val="en-GB"/>
        </w:rPr>
        <w:t xml:space="preserve"> 7. record any injuries and arrange medical examinations where appropriate </w:t>
      </w:r>
    </w:p>
    <w:p>
      <w:pPr/>
      <w:r>
        <w:rPr>
          <w:lang w:val="en-GB"/>
        </w:rPr>
        <w:br/>
      </w:r>
    </w:p>
    <w:p>
      <w:pPr/>
      <w:r>
        <w:rPr>
          <w:lang w:val="en-GB"/>
        </w:rPr>
        <w:t xml:space="preserve"> 8. explain requirements regarding confidentiality to individuals including: </w:t>
      </w:r>
    </w:p>
    <w:p>
      <w:pPr/>
      <w:r>
        <w:rPr>
          <w:lang w:val="en-GB"/>
        </w:rPr>
        <w:br/>
      </w:r>
    </w:p>
    <w:p>
      <w:pPr/>
      <w:r>
        <w:rPr>
          <w:lang w:val="en-GB"/>
        </w:rPr>
        <w:t xml:space="preserve"> • which parties may require particular information </w:t>
      </w:r>
    </w:p>
    <w:p>
      <w:pPr/>
      <w:r>
        <w:rPr>
          <w:lang w:val="en-GB"/>
        </w:rPr>
        <w:br/>
      </w:r>
    </w:p>
    <w:p>
      <w:pPr/>
      <w:r>
        <w:rPr>
          <w:lang w:val="en-GB"/>
        </w:rPr>
        <w:t xml:space="preserve"> • circumstances where information may have to be divulged. </w:t>
      </w:r>
    </w:p>
    <w:p>
      <w:pPr/>
      <w:r>
        <w:rPr>
          <w:lang w:val="en-GB"/>
        </w:rPr>
        <w:br/>
      </w:r>
    </w:p>
    <w:p>
      <w:pPr/>
      <w:r>
        <w:rPr>
          <w:lang w:val="en-GB"/>
        </w:rPr>
        <w:t xml:space="preserve"> 9. explore options regarding ways forward including any aspects of risk, health and wellbeing, safety and protection with individuals </w:t>
      </w:r>
    </w:p>
    <w:p>
      <w:pPr/>
      <w:r>
        <w:rPr>
          <w:lang w:val="en-GB"/>
        </w:rPr>
        <w:br/>
      </w:r>
    </w:p>
    <w:p>
      <w:pPr/>
      <w:r>
        <w:rPr>
          <w:lang w:val="en-GB"/>
        </w:rPr>
        <w:t xml:space="preserve"> 10. explain the reasons for progressing options which may be contrary to the wishes of the individual </w:t>
      </w:r>
    </w:p>
    <w:p>
      <w:pPr/>
      <w:r>
        <w:rPr>
          <w:lang w:val="en-GB"/>
        </w:rPr>
        <w:br/>
      </w:r>
    </w:p>
    <w:p>
      <w:pPr/>
      <w:r>
        <w:rPr>
          <w:lang w:val="en-GB"/>
        </w:rPr>
        <w:t xml:space="preserve"> 11. access relevant local child protection procedures when there are risks to the safety, health and wellbeing of: </w:t>
      </w:r>
    </w:p>
    <w:p>
      <w:pPr/>
      <w:r>
        <w:rPr>
          <w:lang w:val="en-GB"/>
        </w:rPr>
        <w:br/>
      </w:r>
    </w:p>
    <w:p>
      <w:pPr/>
      <w:r>
        <w:rPr>
          <w:lang w:val="en-GB"/>
        </w:rPr>
        <w:t xml:space="preserve"> • individuals under eighteen years of age </w:t>
      </w:r>
    </w:p>
    <w:p>
      <w:pPr/>
      <w:r>
        <w:rPr>
          <w:lang w:val="en-GB"/>
        </w:rPr>
        <w:br/>
      </w:r>
    </w:p>
    <w:p>
      <w:pPr/>
      <w:r>
        <w:rPr>
          <w:lang w:val="en-GB"/>
        </w:rPr>
        <w:t xml:space="preserve"> • any children and dependents involved </w:t>
      </w:r>
    </w:p>
    <w:p>
      <w:pPr/>
      <w:r>
        <w:rPr>
          <w:lang w:val="en-GB"/>
        </w:rPr>
        <w:br/>
      </w:r>
    </w:p>
    <w:p>
      <w:pPr/>
      <w:r>
        <w:rPr>
          <w:lang w:val="en-GB"/>
        </w:rPr>
        <w:t xml:space="preserve"> 12. refer individuals who are at risk to appropriate agencies in line with organisational policies and procedures </w:t>
      </w:r>
    </w:p>
    <w:p>
      <w:pPr/>
      <w:r>
        <w:rPr>
          <w:lang w:val="en-GB"/>
        </w:rPr>
        <w:br/>
      </w:r>
    </w:p>
    <w:p>
      <w:pPr/>
      <w:r>
        <w:rPr>
          <w:lang w:val="en-GB"/>
        </w:rPr>
        <w:t xml:space="preserve"> 13. work with other organisations in line with appropriate procedures and partnership agreements </w:t>
      </w:r>
    </w:p>
    <w:p>
      <w:pPr/>
      <w:r>
        <w:rPr>
          <w:lang w:val="en-GB"/>
        </w:rPr>
        <w:br/>
      </w:r>
    </w:p>
    <w:p>
      <w:pPr/>
      <w:r>
        <w:rPr>
          <w:lang w:val="en-GB"/>
        </w:rPr>
        <w:t xml:space="preserve"> 14. involve individuals in discussions regarding actions towards their protection </w:t>
      </w:r>
    </w:p>
    <w:p>
      <w:pPr/>
      <w:r>
        <w:rPr>
          <w:lang w:val="en-GB"/>
        </w:rPr>
        <w:br/>
      </w:r>
    </w:p>
    <w:p>
      <w:pPr/>
      <w:r>
        <w:rPr>
          <w:lang w:val="en-GB"/>
        </w:rPr>
        <w:t xml:space="preserve"> 15. refer any suspicions regarding potential crime having been committed to the necessary authority in line with organisational policies and procedures </w:t>
      </w:r>
    </w:p>
    <w:p>
      <w:pPr/>
      <w:r>
        <w:rPr>
          <w:lang w:val="en-GB"/>
        </w:rPr>
        <w:br/>
      </w:r>
    </w:p>
    <w:p>
      <w:pPr/>
      <w:r>
        <w:rPr>
          <w:lang w:val="en-GB"/>
        </w:rPr>
        <w:t xml:space="preserve"> 16. inform individuals of their rights in line with legislation and guidance including: </w:t>
      </w:r>
    </w:p>
    <w:p>
      <w:pPr/>
      <w:r>
        <w:rPr>
          <w:lang w:val="en-GB"/>
        </w:rPr>
        <w:br/>
      </w:r>
    </w:p>
    <w:p>
      <w:pPr/>
      <w:r>
        <w:rPr>
          <w:lang w:val="en-GB"/>
        </w:rPr>
        <w:t xml:space="preserve"> • their right to seek legal advice and representation </w:t>
      </w:r>
    </w:p>
    <w:p>
      <w:pPr/>
      <w:r>
        <w:rPr>
          <w:lang w:val="en-GB"/>
        </w:rPr>
        <w:br/>
      </w:r>
    </w:p>
    <w:p>
      <w:pPr/>
      <w:r>
        <w:rPr>
          <w:lang w:val="en-GB"/>
        </w:rPr>
        <w:t xml:space="preserve"> • that it is not always necessary to have legal representation </w:t>
      </w:r>
    </w:p>
    <w:p>
      <w:pPr/>
      <w:r>
        <w:rPr>
          <w:lang w:val="en-GB"/>
        </w:rPr>
        <w:br/>
      </w:r>
    </w:p>
    <w:p>
      <w:pPr/>
      <w:r>
        <w:rPr>
          <w:lang w:val="en-GB"/>
        </w:rPr>
        <w:t xml:space="preserve"> 17. provide individuals with personal safety advice relevant to their needs </w:t>
      </w:r>
    </w:p>
    <w:p>
      <w:pPr/>
      <w:r>
        <w:rPr>
          <w:lang w:val="en-GB"/>
        </w:rPr>
        <w:br/>
      </w:r>
    </w:p>
    <w:p>
      <w:pPr/>
      <w:r>
        <w:rPr>
          <w:lang w:val="en-GB"/>
        </w:rPr>
        <w:t xml:space="preserve"> 18. confirm individuals understand the way forward including: </w:t>
      </w:r>
    </w:p>
    <w:p>
      <w:pPr/>
      <w:r>
        <w:rPr>
          <w:lang w:val="en-GB"/>
        </w:rPr>
        <w:br/>
      </w:r>
    </w:p>
    <w:p>
      <w:pPr/>
      <w:r>
        <w:rPr>
          <w:lang w:val="en-GB"/>
        </w:rPr>
        <w:t xml:space="preserve"> • the services and support they can expect </w:t>
      </w:r>
    </w:p>
    <w:p>
      <w:pPr/>
      <w:r>
        <w:rPr>
          <w:lang w:val="en-GB"/>
        </w:rPr>
        <w:br/>
      </w:r>
    </w:p>
    <w:p>
      <w:pPr/>
      <w:r>
        <w:rPr>
          <w:lang w:val="en-GB"/>
        </w:rPr>
        <w:t xml:space="preserve"> • who will provide services and support </w:t>
      </w:r>
    </w:p>
    <w:p>
      <w:pPr/>
      <w:r>
        <w:rPr>
          <w:lang w:val="en-GB"/>
        </w:rPr>
        <w:br/>
      </w:r>
    </w:p>
    <w:p>
      <w:pPr/>
      <w:r>
        <w:rPr>
          <w:lang w:val="en-GB"/>
        </w:rPr>
        <w:t xml:space="preserve"> 19. maintain up to date records in line with organisation policies and procedures </w:t>
      </w:r>
    </w:p>
    <w:p>
      <w:pPr/>
      <w:r>
        <w:rPr>
          <w:lang w:val="en-GB"/>
        </w:rPr>
        <w:br/>
      </w:r>
    </w:p>
    <w:p>
      <w:pPr/>
      <w:r>
        <w:rPr>
          <w:lang w:val="en-GB"/>
        </w:rPr>
        <w:t xml:space="preserve"> 20. maintain confidentiality in line with legislative, organisational and regulatory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range of agencies and services you may work with </w:t>
      </w:r>
    </w:p>
    <w:p>
      <w:pPr/>
      <w:r>
        <w:rPr>
          <w:lang w:val="en-GB"/>
        </w:rPr>
        <w:br/>
      </w:r>
    </w:p>
    <w:p>
      <w:pPr/>
      <w:r>
        <w:rPr>
          <w:lang w:val="en-GB"/>
        </w:rPr>
        <w:t xml:space="preserve"> 4. your organisation’s role, remit, objectives and services for supporting individuals who are part of forced marriages </w:t>
      </w:r>
    </w:p>
    <w:p>
      <w:pPr/>
      <w:r>
        <w:rPr>
          <w:lang w:val="en-GB"/>
        </w:rPr>
        <w:br/>
      </w:r>
    </w:p>
    <w:p>
      <w:pPr/>
      <w:r>
        <w:rPr>
          <w:lang w:val="en-GB"/>
        </w:rPr>
        <w:t xml:space="preserve"> 5. the limits of your authority, responsibility, and professional competence </w:t>
      </w:r>
    </w:p>
    <w:p>
      <w:pPr/>
      <w:r>
        <w:rPr>
          <w:lang w:val="en-GB"/>
        </w:rPr>
        <w:br/>
      </w:r>
    </w:p>
    <w:p>
      <w:pPr/>
      <w:r>
        <w:rPr>
          <w:lang w:val="en-GB"/>
        </w:rPr>
        <w:t xml:space="preserve"> 6. circumstances where it is necessary to go against individuals expressed wishes </w:t>
      </w:r>
    </w:p>
    <w:p>
      <w:pPr/>
      <w:r>
        <w:rPr>
          <w:lang w:val="en-GB"/>
        </w:rPr>
        <w:br/>
      </w:r>
    </w:p>
    <w:p>
      <w:pPr/>
      <w:r>
        <w:rPr>
          <w:lang w:val="en-GB"/>
        </w:rPr>
        <w:t xml:space="preserve"> 7. the importance of ensuring that individuals know what constitutes a forced marriage and an arranged marriage and the differences between them </w:t>
      </w:r>
    </w:p>
    <w:p>
      <w:pPr/>
      <w:r>
        <w:rPr>
          <w:lang w:val="en-GB"/>
        </w:rPr>
        <w:br/>
      </w:r>
    </w:p>
    <w:p>
      <w:pPr/>
      <w:r>
        <w:rPr>
          <w:lang w:val="en-GB"/>
        </w:rPr>
        <w:t xml:space="preserve"> 8. the role which `honour' has within forced and arranged marriage </w:t>
      </w:r>
    </w:p>
    <w:p>
      <w:pPr/>
      <w:r>
        <w:rPr>
          <w:lang w:val="en-GB"/>
        </w:rPr>
        <w:br/>
      </w:r>
    </w:p>
    <w:p>
      <w:pPr/>
      <w:r>
        <w:rPr>
          <w:lang w:val="en-GB"/>
        </w:rPr>
        <w:t xml:space="preserve"> 9. the methods used by abusers to gain power and control of those forced into marriage </w:t>
      </w:r>
    </w:p>
    <w:p>
      <w:pPr/>
      <w:r>
        <w:rPr>
          <w:lang w:val="en-GB"/>
        </w:rPr>
        <w:br/>
      </w:r>
    </w:p>
    <w:p>
      <w:pPr/>
      <w:r>
        <w:rPr>
          <w:lang w:val="en-GB"/>
        </w:rPr>
        <w:t xml:space="preserve"> 10. the impact upon all those affected by forced marriage, including individuals and dependents. </w:t>
      </w:r>
    </w:p>
    <w:p>
      <w:pPr/>
      <w:r>
        <w:rPr>
          <w:lang w:val="en-GB"/>
        </w:rPr>
        <w:br/>
      </w:r>
    </w:p>
    <w:p>
      <w:pPr/>
      <w:r>
        <w:rPr>
          <w:lang w:val="en-GB"/>
        </w:rPr>
        <w:t xml:space="preserve"> 11. what is meant by safeguarding </w:t>
      </w:r>
    </w:p>
    <w:p>
      <w:pPr/>
      <w:r>
        <w:rPr>
          <w:lang w:val="en-GB"/>
        </w:rPr>
        <w:br/>
      </w:r>
    </w:p>
    <w:p>
      <w:pPr/>
      <w:r>
        <w:rPr>
          <w:lang w:val="en-GB"/>
        </w:rPr>
        <w:t xml:space="preserve"> 12. the different ways in which children, young people and dependents might be harmed </w:t>
      </w:r>
    </w:p>
    <w:p>
      <w:pPr/>
      <w:r>
        <w:rPr>
          <w:lang w:val="en-GB"/>
        </w:rPr>
        <w:br/>
      </w:r>
    </w:p>
    <w:p>
      <w:pPr/>
      <w:r>
        <w:rPr>
          <w:lang w:val="en-GB"/>
        </w:rPr>
        <w:t xml:space="preserve"> 13. when and how to discuss concerns regarding abuse with parents, carers and family members </w:t>
      </w:r>
    </w:p>
    <w:p>
      <w:pPr/>
      <w:r>
        <w:rPr>
          <w:lang w:val="en-GB"/>
        </w:rPr>
        <w:br/>
      </w:r>
    </w:p>
    <w:p>
      <w:pPr/>
      <w:r>
        <w:rPr>
          <w:lang w:val="en-GB"/>
        </w:rPr>
        <w:t xml:space="preserve"> 14. the importance of recognising that parents, carers and family members may be complicit in forced marriages </w:t>
      </w:r>
    </w:p>
    <w:p>
      <w:pPr/>
      <w:r>
        <w:rPr>
          <w:lang w:val="en-GB"/>
        </w:rPr>
        <w:br/>
      </w:r>
    </w:p>
    <w:p>
      <w:pPr/>
      <w:r>
        <w:rPr>
          <w:lang w:val="en-GB"/>
        </w:rPr>
        <w:t xml:space="preserve"> 15. warning signs and indications of potential or actual forced marriage </w:t>
      </w:r>
    </w:p>
    <w:p>
      <w:pPr/>
      <w:r>
        <w:rPr>
          <w:lang w:val="en-GB"/>
        </w:rPr>
        <w:br/>
      </w:r>
    </w:p>
    <w:p>
      <w:pPr/>
      <w:r>
        <w:rPr>
          <w:lang w:val="en-GB"/>
        </w:rPr>
        <w:t xml:space="preserve"> 16. how to assess signs and indicators of forced marriage, including: </w:t>
      </w:r>
    </w:p>
    <w:p>
      <w:pPr/>
      <w:r>
        <w:rPr>
          <w:lang w:val="en-GB"/>
        </w:rPr>
        <w:br/>
      </w:r>
    </w:p>
    <w:p>
      <w:pPr/>
      <w:r>
        <w:rPr>
          <w:lang w:val="en-GB"/>
        </w:rPr>
        <w:t xml:space="preserve"> 17. different forms of domestic abuse and sexual violence associated with forced marriages and their impact upon individuals </w:t>
      </w:r>
    </w:p>
    <w:p>
      <w:pPr/>
      <w:r>
        <w:rPr>
          <w:lang w:val="en-GB"/>
        </w:rPr>
        <w:br/>
      </w:r>
    </w:p>
    <w:p>
      <w:pPr/>
      <w:r>
        <w:rPr>
          <w:lang w:val="en-GB"/>
        </w:rPr>
        <w:t xml:space="preserve"> 18. types and sources of information and support sought by individuals impacted by forced marriages </w:t>
      </w:r>
    </w:p>
    <w:p>
      <w:pPr/>
      <w:r>
        <w:rPr>
          <w:lang w:val="en-GB"/>
        </w:rPr>
        <w:br/>
      </w:r>
    </w:p>
    <w:p>
      <w:pPr/>
      <w:r>
        <w:rPr>
          <w:lang w:val="en-GB"/>
        </w:rPr>
        <w:t xml:space="preserve"> 19. the actions available to you where disclosure of a forced marriage is identified </w:t>
      </w:r>
    </w:p>
    <w:p>
      <w:pPr/>
      <w:r>
        <w:rPr>
          <w:lang w:val="en-GB"/>
        </w:rPr>
        <w:br/>
      </w:r>
    </w:p>
    <w:p>
      <w:pPr/>
      <w:r>
        <w:rPr>
          <w:lang w:val="en-GB"/>
        </w:rPr>
        <w:t xml:space="preserve"> 20. the role of principle external agencies and stakeholders who provide referrals and support to individuals impacted by forced marriages in your area </w:t>
      </w:r>
    </w:p>
    <w:p>
      <w:pPr/>
      <w:r>
        <w:rPr>
          <w:lang w:val="en-GB"/>
        </w:rPr>
        <w:br/>
      </w:r>
    </w:p>
    <w:p>
      <w:pPr/>
      <w:r>
        <w:rPr>
          <w:lang w:val="en-GB"/>
        </w:rPr>
        <w:t xml:space="preserve"> 21. specialist support services available for individuals impacted by forced marriage and honour crimes </w:t>
      </w:r>
    </w:p>
    <w:p>
      <w:pPr/>
      <w:r>
        <w:rPr>
          <w:lang w:val="en-GB"/>
        </w:rPr>
        <w:br/>
      </w:r>
    </w:p>
    <w:p>
      <w:pPr/>
      <w:r>
        <w:rPr>
          <w:lang w:val="en-GB"/>
        </w:rPr>
        <w:t xml:space="preserve"> 22. how to create an environment that puts individuals at ease </w:t>
      </w:r>
    </w:p>
    <w:p>
      <w:pPr/>
      <w:r>
        <w:rPr>
          <w:lang w:val="en-GB"/>
        </w:rPr>
        <w:br/>
      </w:r>
    </w:p>
    <w:p>
      <w:pPr/>
      <w:r>
        <w:rPr>
          <w:lang w:val="en-GB"/>
        </w:rPr>
        <w:t xml:space="preserve"> 23. how to apply trauma informed practice in your area of practice </w:t>
      </w:r>
    </w:p>
    <w:p>
      <w:pPr/>
      <w:r>
        <w:rPr>
          <w:lang w:val="en-GB"/>
        </w:rPr>
        <w:br/>
      </w:r>
    </w:p>
    <w:p>
      <w:pPr/>
      <w:r>
        <w:rPr>
          <w:lang w:val="en-GB"/>
        </w:rPr>
        <w:t xml:space="preserve"> 24. understand different trauma responses and their impact </w:t>
      </w:r>
    </w:p>
    <w:p>
      <w:pPr/>
      <w:r>
        <w:rPr>
          <w:lang w:val="en-GB"/>
        </w:rPr>
        <w:br/>
      </w:r>
    </w:p>
    <w:p>
      <w:pPr/>
      <w:r>
        <w:rPr>
          <w:lang w:val="en-GB"/>
        </w:rPr>
        <w:t xml:space="preserve"> 25. how to apply a needs led, strength based approach specific to meet the needs of the individual </w:t>
      </w:r>
    </w:p>
    <w:p>
      <w:pPr/>
      <w:r>
        <w:rPr>
          <w:lang w:val="en-GB"/>
        </w:rPr>
        <w:br/>
      </w:r>
    </w:p>
    <w:p>
      <w:pPr/>
      <w:r>
        <w:rPr>
          <w:lang w:val="en-GB"/>
        </w:rPr>
        <w:t xml:space="preserve"> 26. different trauma responses and their impact </w:t>
      </w:r>
    </w:p>
    <w:p>
      <w:pPr/>
      <w:r>
        <w:rPr>
          <w:lang w:val="en-GB"/>
        </w:rPr>
        <w:br/>
      </w:r>
    </w:p>
    <w:p>
      <w:pPr/>
      <w:r>
        <w:rPr>
          <w:lang w:val="en-GB"/>
        </w:rPr>
        <w:t xml:space="preserve"> 27. the importance of sharing information with other agencies in the context of the individual’s safety, health and wellbeing </w:t>
      </w:r>
    </w:p>
    <w:p>
      <w:pPr/>
      <w:r>
        <w:rPr>
          <w:lang w:val="en-GB"/>
        </w:rPr>
        <w:br/>
      </w:r>
    </w:p>
    <w:p>
      <w:pPr/>
      <w:r>
        <w:rPr>
          <w:lang w:val="en-GB"/>
        </w:rPr>
        <w:t xml:space="preserve"> 28. the principles governing when young people are considered sufficiently mature to give consent to their information being shared with other parties </w:t>
      </w:r>
    </w:p>
    <w:p>
      <w:pPr/>
      <w:r>
        <w:rPr>
          <w:lang w:val="en-GB"/>
        </w:rPr>
        <w:br/>
      </w:r>
    </w:p>
    <w:p>
      <w:pPr/>
      <w:r>
        <w:rPr>
          <w:lang w:val="en-GB"/>
        </w:rPr>
        <w:t xml:space="preserve"> 29. the difference between information sharing on individual, organisational and professional levels </w:t>
      </w:r>
    </w:p>
    <w:p>
      <w:pPr/>
      <w:r>
        <w:rPr>
          <w:lang w:val="en-GB"/>
        </w:rPr>
        <w:br/>
      </w:r>
    </w:p>
    <w:p>
      <w:pPr/>
      <w:r>
        <w:rPr>
          <w:lang w:val="en-GB"/>
        </w:rPr>
        <w:t xml:space="preserve"> 30. other parties who need, and are entitled to information, what information they are entitled to and when </w:t>
      </w:r>
    </w:p>
    <w:p>
      <w:pPr/>
      <w:r>
        <w:rPr>
          <w:lang w:val="en-GB"/>
        </w:rPr>
        <w:br/>
      </w:r>
    </w:p>
    <w:p>
      <w:pPr/>
      <w:r>
        <w:rPr>
          <w:lang w:val="en-GB"/>
        </w:rPr>
        <w:t xml:space="preserve"> 31. how cultural, social and gender related aspects impact upon domestic abuse and sexual violence </w:t>
      </w:r>
    </w:p>
    <w:p>
      <w:pPr/>
      <w:r>
        <w:rPr>
          <w:lang w:val="en-GB"/>
        </w:rPr>
        <w:br/>
      </w:r>
    </w:p>
    <w:p>
      <w:pPr/>
      <w:r>
        <w:rPr>
          <w:lang w:val="en-GB"/>
        </w:rPr>
        <w:t xml:space="preserve"> 32. how intersectionality impacts on how an individual experiences services </w:t>
      </w:r>
    </w:p>
    <w:p>
      <w:pPr/>
      <w:r>
        <w:rPr>
          <w:lang w:val="en-GB"/>
        </w:rPr>
        <w:br/>
      </w:r>
    </w:p>
    <w:p>
      <w:pPr/>
      <w:r>
        <w:rPr>
          <w:lang w:val="en-GB"/>
        </w:rPr>
        <w:t xml:space="preserve"> 33. the importance of and methods for building trust and empathy with individuals </w:t>
      </w:r>
    </w:p>
    <w:p>
      <w:pPr/>
      <w:r>
        <w:rPr>
          <w:lang w:val="en-GB"/>
        </w:rPr>
        <w:br/>
      </w:r>
    </w:p>
    <w:p>
      <w:pPr/>
      <w:r>
        <w:rPr>
          <w:lang w:val="en-GB"/>
        </w:rPr>
        <w:t xml:space="preserve"> 34. different styles and forms of communication and how to adapt them to meet the needs of individuals </w:t>
      </w:r>
    </w:p>
    <w:p>
      <w:pPr/>
      <w:r>
        <w:rPr>
          <w:lang w:val="en-GB"/>
        </w:rPr>
        <w:br/>
      </w:r>
    </w:p>
    <w:p>
      <w:pPr/>
      <w:r>
        <w:rPr>
          <w:lang w:val="en-GB"/>
        </w:rPr>
        <w:t xml:space="preserve"> 35. common barriers to communication and ways to overcome them </w:t>
      </w:r>
    </w:p>
    <w:p>
      <w:pPr/>
      <w:r>
        <w:rPr>
          <w:lang w:val="en-GB"/>
        </w:rPr>
        <w:br/>
      </w:r>
    </w:p>
    <w:p>
      <w:pPr/>
      <w:r>
        <w:rPr>
          <w:lang w:val="en-GB"/>
        </w:rPr>
        <w:t xml:space="preserve"> 36. the importance of being aware of your values and beliefs and the impact they may have </w:t>
      </w:r>
    </w:p>
    <w:p>
      <w:pPr/>
      <w:r>
        <w:rPr>
          <w:lang w:val="en-GB"/>
        </w:rPr>
        <w:br/>
      </w:r>
    </w:p>
    <w:p>
      <w:pPr/>
      <w:r>
        <w:rPr>
          <w:lang w:val="en-GB"/>
        </w:rPr>
        <w:t xml:space="preserve"> 37. how to challenge discriminatory or potentially damaging attitudes and behaviour and the importance of doing so</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SfJGK301</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arranged marriage; identification; provision; vulnerable adults; safeguarding; young people; abuse; domestic violence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125c857811401a" /><Relationship Type="http://schemas.openxmlformats.org/officeDocument/2006/relationships/numbering" Target="/word/numbering.xml" Id="Rdce5137c031a45bc" /><Relationship Type="http://schemas.openxmlformats.org/officeDocument/2006/relationships/settings" Target="/word/settings.xml" Id="R5d82f9d834fc47b7" /><Relationship Type="http://schemas.openxmlformats.org/officeDocument/2006/relationships/image" Target="/word/media/0af3e6cf-7668-4202-b72a-a060b4ca0c36.png" Id="R5bfb45f2884e4193" /></Relationships>
</file>