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5354649dfe847e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SFJBI401</w:t>
            </w:r>
            <w:r>
              <w:rPr>
                <w:b/>
              </w:rPr>
              <w:br/>
            </w:r>
            <w:r>
              <w:rPr>
                <w:b/>
              </w:rPr>
              <w:t>Agree interventions to protect children and young people at risk of domestic abuse or sexual violence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44b2b1557654c4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you identifying children and young people who are at risk of domestic abuse or sexual violence. As part of this standard, you will identify and agree interventions. </w:t>
      </w:r>
    </w:p>
    <w:p>
      <w:pPr/>
      <w:r>
        <w:rPr>
          <w:lang w:val="en-GB"/>
        </w:rPr>
        <w:br/>
      </w:r>
    </w:p>
    <w:p>
      <w:pPr/>
      <w:r>
        <w:rPr>
          <w:lang w:val="en-GB"/>
        </w:rPr>
        <w:t xml:space="preserve"> This standard is for practitioners who support those experiencing domestic abuse, which may include instances of sexual violence.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observe children and young people to identify indicators of stress which could suggest abuse including;</w:t>
      </w:r>
    </w:p>
    <w:p>
      <w:pPr>
        <w:numPr>
          <w:ilvl w:val="1"/>
          <w:numId w:val="1"/>
        </w:numPr>
      </w:pPr>
      <w:r>
        <w:t>unexpected changes in behaviour</w:t>
      </w:r>
    </w:p>
    <w:p>
      <w:pPr>
        <w:numPr>
          <w:ilvl w:val="1"/>
          <w:numId w:val="1"/>
        </w:numPr>
      </w:pPr>
      <w:r>
        <w:t>use of inappropriate language</w:t>
      </w:r>
    </w:p>
    <w:p>
      <w:pPr>
        <w:numPr>
          <w:ilvl w:val="1"/>
          <w:numId w:val="1"/>
        </w:numPr>
      </w:pPr>
      <w:r>
        <w:t>improper behaviour</w:t>
      </w:r>
    </w:p>
    <w:p>
      <w:pPr>
        <w:numPr>
          <w:ilvl w:val="0"/>
          <w:numId w:val="1"/>
        </w:numPr>
      </w:pPr>
      <w:r>
        <w:t>identify any injuries sustained by children and young people including injuries which:</w:t>
      </w:r>
    </w:p>
    <w:p>
      <w:pPr>
        <w:numPr>
          <w:ilvl w:val="1"/>
          <w:numId w:val="1"/>
        </w:numPr>
      </w:pPr>
      <w:r>
        <w:t>have no or poor explanation</w:t>
      </w:r>
    </w:p>
    <w:p>
      <w:pPr>
        <w:numPr>
          <w:ilvl w:val="1"/>
          <w:numId w:val="1"/>
        </w:numPr>
      </w:pPr>
      <w:r>
        <w:t>lead to suspicion about potential abuse or violence</w:t>
      </w:r>
    </w:p>
    <w:p>
      <w:pPr>
        <w:numPr>
          <w:ilvl w:val="0"/>
          <w:numId w:val="1"/>
        </w:numPr>
      </w:pPr>
      <w:r>
        <w:t>discuss indicators of stress and injuries with children and young people which suggest potential abuse in line with organisational policies and procedures</w:t>
      </w:r>
    </w:p>
    <w:p>
      <w:pPr>
        <w:numPr>
          <w:ilvl w:val="0"/>
          <w:numId w:val="1"/>
        </w:numPr>
      </w:pPr>
      <w:r>
        <w:t>explore with children and young people their perception and rationale for stress indicators and injuries which they are exhibiting</w:t>
      </w:r>
    </w:p>
    <w:p>
      <w:pPr>
        <w:numPr>
          <w:ilvl w:val="0"/>
          <w:numId w:val="1"/>
        </w:numPr>
      </w:pPr>
      <w:r>
        <w:t>provide children and young people with an appropriate and safe environment and opportunities to describe their circumstance including use of support materials</w:t>
      </w:r>
    </w:p>
    <w:p>
      <w:pPr>
        <w:numPr>
          <w:ilvl w:val="0"/>
          <w:numId w:val="1"/>
        </w:numPr>
      </w:pPr>
      <w:r>
        <w:t>communicate with children and young people in ways which meet their needs and abilities in line with organisational policies and procedures</w:t>
      </w:r>
    </w:p>
    <w:p>
      <w:pPr>
        <w:numPr>
          <w:ilvl w:val="0"/>
          <w:numId w:val="1"/>
        </w:numPr>
      </w:pPr>
      <w:r>
        <w:t>respond to children and young peoples’ wishes for confidentiality in line with organisational policies and procedures</w:t>
      </w:r>
    </w:p>
    <w:p>
      <w:pPr>
        <w:numPr>
          <w:ilvl w:val="0"/>
          <w:numId w:val="1"/>
        </w:numPr>
      </w:pPr>
      <w:r>
        <w:t>identify information regarding children and young people which needs to be shared with relevant others in line with organisational policies and procedures</w:t>
      </w:r>
    </w:p>
    <w:p>
      <w:pPr>
        <w:numPr>
          <w:ilvl w:val="0"/>
          <w:numId w:val="1"/>
        </w:numPr>
      </w:pPr>
      <w:r>
        <w:t>take steps to ensure you are accompanied and observed by another colleague in discussions with children and young people in line with organizational policies and procedures</w:t>
      </w:r>
    </w:p>
    <w:p>
      <w:pPr>
        <w:numPr>
          <w:ilvl w:val="0"/>
          <w:numId w:val="1"/>
        </w:numPr>
      </w:pPr>
      <w:r>
        <w:t>agree interventions with children and young people to meet their needs and circumstances</w:t>
      </w:r>
    </w:p>
    <w:p>
      <w:pPr>
        <w:numPr>
          <w:ilvl w:val="0"/>
          <w:numId w:val="1"/>
        </w:numPr>
      </w:pPr>
      <w:r>
        <w:t>make referrals to other professionals and services when support and interventions required is outside your role and responsibilities</w:t>
      </w:r>
    </w:p>
    <w:p>
      <w:pPr>
        <w:numPr>
          <w:ilvl w:val="0"/>
          <w:numId w:val="1"/>
        </w:numPr>
      </w:pPr>
      <w:r>
        <w:t>assess information received using professional judgement to determine the levels of risk to children and young people</w:t>
      </w:r>
    </w:p>
    <w:p>
      <w:pPr>
        <w:numPr>
          <w:ilvl w:val="0"/>
          <w:numId w:val="1"/>
        </w:numPr>
      </w:pPr>
      <w:r>
        <w:t>determine factors which can cause changes in behaviour of children and young people’s as well as injuries in line with available guidance</w:t>
      </w:r>
    </w:p>
    <w:p>
      <w:pPr>
        <w:numPr>
          <w:ilvl w:val="0"/>
          <w:numId w:val="1"/>
        </w:numPr>
      </w:pPr>
      <w:r>
        <w:t>identify and arrange for additional enquiries and assessments if required</w:t>
      </w:r>
    </w:p>
    <w:p>
      <w:pPr>
        <w:numPr>
          <w:ilvl w:val="0"/>
          <w:numId w:val="1"/>
        </w:numPr>
      </w:pPr>
      <w:r>
        <w:t>keep records about interventions which protect children and young people</w:t>
      </w:r>
    </w:p>
    <w:p>
      <w:pPr>
        <w:numPr>
          <w:ilvl w:val="0"/>
          <w:numId w:val="1"/>
        </w:numPr>
      </w:pPr>
      <w:r>
        <w:t>work with other organisations to protect children and young people at risk in line with partnership arrangements</w:t>
      </w:r>
    </w:p>
    <w:p>
      <w:pPr>
        <w:numPr>
          <w:ilvl w:val="0"/>
          <w:numId w:val="1"/>
        </w:numPr>
      </w:pPr>
      <w:r>
        <w:t>maintain confidentiality in line with legislative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range of agencies and services you may work with </w:t>
      </w:r>
    </w:p>
    <w:p>
      <w:pPr/>
      <w:r>
        <w:rPr>
          <w:lang w:val="en-GB"/>
        </w:rPr>
        <w:br/>
      </w:r>
    </w:p>
    <w:p>
      <w:pPr/>
      <w:r>
        <w:rPr>
          <w:lang w:val="en-GB"/>
        </w:rPr>
        <w:t xml:space="preserve"> 4. the limits of your authority, responsibility and professional competence </w:t>
      </w:r>
    </w:p>
    <w:p>
      <w:pPr/>
      <w:r>
        <w:rPr>
          <w:lang w:val="en-GB"/>
        </w:rPr>
        <w:br/>
      </w:r>
    </w:p>
    <w:p>
      <w:pPr/>
      <w:r>
        <w:rPr>
          <w:lang w:val="en-GB"/>
        </w:rPr>
        <w:t xml:space="preserve"> 5. sources of support available to you as a practitioner and how to access these including peer networks and clinical supervision </w:t>
      </w:r>
    </w:p>
    <w:p>
      <w:pPr/>
      <w:r>
        <w:rPr>
          <w:lang w:val="en-GB"/>
        </w:rPr>
        <w:br/>
      </w:r>
    </w:p>
    <w:p>
      <w:pPr/>
      <w:r>
        <w:rPr>
          <w:lang w:val="en-GB"/>
        </w:rPr>
        <w:t xml:space="preserve"> 6. what is meant by safeguarding </w:t>
      </w:r>
    </w:p>
    <w:p>
      <w:pPr/>
      <w:r>
        <w:rPr>
          <w:lang w:val="en-GB"/>
        </w:rPr>
        <w:br/>
      </w:r>
    </w:p>
    <w:p>
      <w:pPr/>
      <w:r>
        <w:rPr>
          <w:lang w:val="en-GB"/>
        </w:rPr>
        <w:t xml:space="preserve"> 7. different ways in which children and young people might be harmed </w:t>
      </w:r>
    </w:p>
    <w:p>
      <w:pPr/>
      <w:r>
        <w:rPr>
          <w:lang w:val="en-GB"/>
        </w:rPr>
        <w:br/>
      </w:r>
    </w:p>
    <w:p>
      <w:pPr/>
      <w:r>
        <w:rPr>
          <w:lang w:val="en-GB"/>
        </w:rPr>
        <w:t xml:space="preserve"> 8. signs of abuse and methods used by abusers to gain power and control </w:t>
      </w:r>
    </w:p>
    <w:p>
      <w:pPr/>
      <w:r>
        <w:rPr>
          <w:lang w:val="en-GB"/>
        </w:rPr>
        <w:br/>
      </w:r>
    </w:p>
    <w:p>
      <w:pPr/>
      <w:r>
        <w:rPr>
          <w:lang w:val="en-GB"/>
        </w:rPr>
        <w:t xml:space="preserve"> 9. the impact upon all of those affected by domestic abuse or sexual violence including victims, survivors and children </w:t>
      </w:r>
    </w:p>
    <w:p>
      <w:pPr/>
      <w:r>
        <w:rPr>
          <w:lang w:val="en-GB"/>
        </w:rPr>
        <w:br/>
      </w:r>
    </w:p>
    <w:p>
      <w:pPr/>
      <w:r>
        <w:rPr>
          <w:lang w:val="en-GB"/>
        </w:rPr>
        <w:t xml:space="preserve"> 10. how dependents may be used by abusers as part of their abuse </w:t>
      </w:r>
    </w:p>
    <w:p>
      <w:pPr/>
      <w:r>
        <w:rPr>
          <w:lang w:val="en-GB"/>
        </w:rPr>
        <w:br/>
      </w:r>
    </w:p>
    <w:p>
      <w:pPr/>
      <w:r>
        <w:rPr>
          <w:lang w:val="en-GB"/>
        </w:rPr>
        <w:t xml:space="preserve"> 11. how cultural, societal and gender related aspects impact upon domestic abuse and sexual violence </w:t>
      </w:r>
    </w:p>
    <w:p>
      <w:pPr/>
      <w:r>
        <w:rPr>
          <w:lang w:val="en-GB"/>
        </w:rPr>
        <w:br/>
      </w:r>
    </w:p>
    <w:p>
      <w:pPr/>
      <w:r>
        <w:rPr>
          <w:lang w:val="en-GB"/>
        </w:rPr>
        <w:t xml:space="preserve"> 12. the role of external support agencies in providing referrals and support for children and young people who have been affected by domestic abuse or sexual violence </w:t>
      </w:r>
    </w:p>
    <w:p>
      <w:pPr/>
      <w:r>
        <w:rPr>
          <w:lang w:val="en-GB"/>
        </w:rPr>
        <w:br/>
      </w:r>
    </w:p>
    <w:p>
      <w:pPr/>
      <w:r>
        <w:rPr>
          <w:lang w:val="en-GB"/>
        </w:rPr>
        <w:t xml:space="preserve"> 13. multi-agency arrangements for providing referrals and for children and young people who are victims and survivors of domestic abuse or sexual violence </w:t>
      </w:r>
    </w:p>
    <w:p>
      <w:pPr/>
      <w:r>
        <w:rPr>
          <w:lang w:val="en-GB"/>
        </w:rPr>
        <w:br/>
      </w:r>
    </w:p>
    <w:p>
      <w:pPr/>
      <w:r>
        <w:rPr>
          <w:lang w:val="en-GB"/>
        </w:rPr>
        <w:t xml:space="preserve"> 14. misconceptions and stereotypical viewpoints about levels and causes of abuse indicators of domestic abuse and sexual violence and how these can be expressed including through: </w:t>
      </w:r>
    </w:p>
    <w:p>
      <w:pPr/>
      <w:r>
        <w:rPr>
          <w:lang w:val="en-GB"/>
        </w:rPr>
        <w:br/>
      </w:r>
    </w:p>
    <w:p>
      <w:pPr/>
      <w:r>
        <w:rPr>
          <w:lang w:val="en-GB"/>
        </w:rPr>
        <w:t xml:space="preserve"> 15. play and artwork </w:t>
      </w:r>
    </w:p>
    <w:p>
      <w:pPr/>
      <w:r>
        <w:rPr>
          <w:lang w:val="en-GB"/>
        </w:rPr>
        <w:br/>
      </w:r>
    </w:p>
    <w:p>
      <w:pPr/>
      <w:r>
        <w:rPr>
          <w:lang w:val="en-GB"/>
        </w:rPr>
        <w:t xml:space="preserve"> 16. relationships with other children and adults </w:t>
      </w:r>
    </w:p>
    <w:p>
      <w:pPr/>
      <w:r>
        <w:rPr>
          <w:lang w:val="en-GB"/>
        </w:rPr>
        <w:br/>
      </w:r>
    </w:p>
    <w:p>
      <w:pPr/>
      <w:r>
        <w:rPr>
          <w:lang w:val="en-GB"/>
        </w:rPr>
        <w:t xml:space="preserve"> 17. the subtle nature of some indicators </w:t>
      </w:r>
    </w:p>
    <w:p>
      <w:pPr/>
      <w:r>
        <w:rPr>
          <w:lang w:val="en-GB"/>
        </w:rPr>
        <w:br/>
      </w:r>
    </w:p>
    <w:p>
      <w:pPr/>
      <w:r>
        <w:rPr>
          <w:lang w:val="en-GB"/>
        </w:rPr>
        <w:t xml:space="preserve"> 18. actions required where disclosure of abuse is identified </w:t>
      </w:r>
    </w:p>
    <w:p>
      <w:pPr/>
      <w:r>
        <w:rPr>
          <w:lang w:val="en-GB"/>
        </w:rPr>
        <w:br/>
      </w:r>
    </w:p>
    <w:p>
      <w:pPr/>
      <w:r>
        <w:rPr>
          <w:lang w:val="en-GB"/>
        </w:rPr>
        <w:t xml:space="preserve"> 19. types of information and areas of support sought by children and young people affected by domestic abuse or sexual violence </w:t>
      </w:r>
    </w:p>
    <w:p>
      <w:pPr/>
      <w:r>
        <w:rPr>
          <w:lang w:val="en-GB"/>
        </w:rPr>
        <w:br/>
      </w:r>
    </w:p>
    <w:p>
      <w:pPr/>
      <w:r>
        <w:rPr>
          <w:lang w:val="en-GB"/>
        </w:rPr>
        <w:t xml:space="preserve"> 20. sources of information available to children and young people affected by domestic abuse or sexual violence </w:t>
      </w:r>
    </w:p>
    <w:p>
      <w:pPr/>
      <w:r>
        <w:rPr>
          <w:lang w:val="en-GB"/>
        </w:rPr>
        <w:br/>
      </w:r>
    </w:p>
    <w:p>
      <w:pPr/>
      <w:r>
        <w:rPr>
          <w:lang w:val="en-GB"/>
        </w:rPr>
        <w:t xml:space="preserve"> 21. circumstances where it is necessary to go against children and young peoples expressed wishes </w:t>
      </w:r>
    </w:p>
    <w:p>
      <w:pPr/>
      <w:r>
        <w:rPr>
          <w:lang w:val="en-GB"/>
        </w:rPr>
        <w:br/>
      </w:r>
    </w:p>
    <w:p>
      <w:pPr/>
      <w:r>
        <w:rPr>
          <w:lang w:val="en-GB"/>
        </w:rPr>
        <w:t xml:space="preserve"> 22. the importance of ensuring that children and young people understand why their expressed wishes may not be met </w:t>
      </w:r>
    </w:p>
    <w:p>
      <w:pPr/>
      <w:r>
        <w:rPr>
          <w:lang w:val="en-GB"/>
        </w:rPr>
        <w:br/>
      </w:r>
    </w:p>
    <w:p>
      <w:pPr/>
      <w:r>
        <w:rPr>
          <w:lang w:val="en-GB"/>
        </w:rPr>
        <w:t xml:space="preserve"> 23. methods of verifying and corroborating information </w:t>
      </w:r>
    </w:p>
    <w:p>
      <w:pPr/>
      <w:r>
        <w:rPr>
          <w:lang w:val="en-GB"/>
        </w:rPr>
        <w:br/>
      </w:r>
    </w:p>
    <w:p>
      <w:pPr/>
      <w:r>
        <w:rPr>
          <w:lang w:val="en-GB"/>
        </w:rPr>
        <w:t xml:space="preserve"> 24. methods and techniques for distinguishing between and identifying; directly observed evidence and: </w:t>
      </w:r>
    </w:p>
    <w:p>
      <w:pPr/>
      <w:r>
        <w:rPr>
          <w:lang w:val="en-GB"/>
        </w:rPr>
        <w:br/>
      </w:r>
    </w:p>
    <w:p>
      <w:pPr/>
      <w:r>
        <w:rPr>
          <w:lang w:val="en-GB"/>
        </w:rPr>
        <w:t xml:space="preserve"> 25. evidence from reliable sources </w:t>
      </w:r>
    </w:p>
    <w:p>
      <w:pPr/>
      <w:r>
        <w:rPr>
          <w:lang w:val="en-GB"/>
        </w:rPr>
        <w:br/>
      </w:r>
    </w:p>
    <w:p>
      <w:pPr/>
      <w:r>
        <w:rPr>
          <w:lang w:val="en-GB"/>
        </w:rPr>
        <w:t xml:space="preserve"> 26. hearsay </w:t>
      </w:r>
    </w:p>
    <w:p>
      <w:pPr/>
      <w:r>
        <w:rPr>
          <w:lang w:val="en-GB"/>
        </w:rPr>
        <w:br/>
      </w:r>
    </w:p>
    <w:p>
      <w:pPr/>
      <w:r>
        <w:rPr>
          <w:lang w:val="en-GB"/>
        </w:rPr>
        <w:t xml:space="preserve"> 27. prejudice </w:t>
      </w:r>
    </w:p>
    <w:p>
      <w:pPr/>
      <w:r>
        <w:rPr>
          <w:lang w:val="en-GB"/>
        </w:rPr>
        <w:br/>
      </w:r>
    </w:p>
    <w:p>
      <w:pPr/>
      <w:r>
        <w:rPr>
          <w:lang w:val="en-GB"/>
        </w:rPr>
        <w:t xml:space="preserve"> 28. when and how to discuss concerns regarding abuse with parents and carers </w:t>
      </w:r>
    </w:p>
    <w:p>
      <w:pPr/>
      <w:r>
        <w:rPr>
          <w:lang w:val="en-GB"/>
        </w:rPr>
        <w:br/>
      </w:r>
    </w:p>
    <w:p>
      <w:pPr/>
      <w:r>
        <w:rPr>
          <w:lang w:val="en-GB"/>
        </w:rPr>
        <w:t xml:space="preserve"> 29. factors that can affect parenting and increase the risk of abuse </w:t>
      </w:r>
    </w:p>
    <w:p>
      <w:pPr/>
      <w:r>
        <w:rPr>
          <w:lang w:val="en-GB"/>
        </w:rPr>
        <w:br/>
      </w:r>
    </w:p>
    <w:p>
      <w:pPr/>
      <w:r>
        <w:rPr>
          <w:lang w:val="en-GB"/>
        </w:rPr>
        <w:t xml:space="preserve"> 30. how to create an environment that puts children and young people at ease </w:t>
      </w:r>
    </w:p>
    <w:p>
      <w:pPr/>
      <w:r>
        <w:rPr>
          <w:lang w:val="en-GB"/>
        </w:rPr>
        <w:br/>
      </w:r>
    </w:p>
    <w:p>
      <w:pPr/>
      <w:r>
        <w:rPr>
          <w:lang w:val="en-GB"/>
        </w:rPr>
        <w:t xml:space="preserve"> 31. how to apply trauma informed practice in your area of practice </w:t>
      </w:r>
    </w:p>
    <w:p>
      <w:pPr/>
      <w:r>
        <w:rPr>
          <w:lang w:val="en-GB"/>
        </w:rPr>
        <w:br/>
      </w:r>
    </w:p>
    <w:p>
      <w:pPr/>
      <w:r>
        <w:rPr>
          <w:lang w:val="en-GB"/>
        </w:rPr>
        <w:t xml:space="preserve"> 32. understand different trauma responses and their impact </w:t>
      </w:r>
    </w:p>
    <w:p>
      <w:pPr/>
      <w:r>
        <w:rPr>
          <w:lang w:val="en-GB"/>
        </w:rPr>
        <w:br/>
      </w:r>
    </w:p>
    <w:p>
      <w:pPr/>
      <w:r>
        <w:rPr>
          <w:lang w:val="en-GB"/>
        </w:rPr>
        <w:t xml:space="preserve"> 33. how to apply a needs led, strength based approach specific to meet the needs of the individual </w:t>
      </w:r>
    </w:p>
    <w:p>
      <w:pPr/>
      <w:r>
        <w:rPr>
          <w:lang w:val="en-GB"/>
        </w:rPr>
        <w:br/>
      </w:r>
    </w:p>
    <w:p>
      <w:pPr/>
      <w:r>
        <w:rPr>
          <w:lang w:val="en-GB"/>
        </w:rPr>
        <w:t xml:space="preserve"> 34. the importance of sharing information with other relevant agencies in the context of children and young people's safety, health and wellbeing </w:t>
      </w:r>
    </w:p>
    <w:p>
      <w:pPr/>
      <w:r>
        <w:rPr>
          <w:lang w:val="en-GB"/>
        </w:rPr>
        <w:br/>
      </w:r>
    </w:p>
    <w:p>
      <w:pPr/>
      <w:r>
        <w:rPr>
          <w:lang w:val="en-GB"/>
        </w:rPr>
        <w:t xml:space="preserve"> 35. principles governing when young people are considered sufficiently mature to give informed consent to share their information with other parties </w:t>
      </w:r>
    </w:p>
    <w:p>
      <w:pPr/>
      <w:r>
        <w:rPr>
          <w:lang w:val="en-GB"/>
        </w:rPr>
        <w:br/>
      </w:r>
    </w:p>
    <w:p>
      <w:pPr/>
      <w:r>
        <w:rPr>
          <w:lang w:val="en-GB"/>
        </w:rPr>
        <w:t xml:space="preserve"> 36. the information needs of other entitled agencies, organisations and individuals and when they need information </w:t>
      </w:r>
    </w:p>
    <w:p>
      <w:pPr/>
      <w:r>
        <w:rPr>
          <w:lang w:val="en-GB"/>
        </w:rPr>
        <w:br/>
      </w:r>
    </w:p>
    <w:p>
      <w:pPr/>
      <w:r>
        <w:rPr>
          <w:lang w:val="en-GB"/>
        </w:rPr>
        <w:t xml:space="preserve"> 37. the organizational polices and procedures for information sharing </w:t>
      </w:r>
    </w:p>
    <w:p>
      <w:pPr/>
      <w:r>
        <w:rPr>
          <w:lang w:val="en-GB"/>
        </w:rPr>
        <w:br/>
      </w:r>
    </w:p>
    <w:p>
      <w:pPr/>
      <w:r>
        <w:rPr>
          <w:lang w:val="en-GB"/>
        </w:rPr>
        <w:t xml:space="preserve"> 38. the importance of and methods for building trust and empathy with children and young people </w:t>
      </w:r>
    </w:p>
    <w:p>
      <w:pPr/>
      <w:r>
        <w:rPr>
          <w:lang w:val="en-GB"/>
        </w:rPr>
        <w:br/>
      </w:r>
    </w:p>
    <w:p>
      <w:pPr/>
      <w:r>
        <w:rPr>
          <w:lang w:val="en-GB"/>
        </w:rPr>
        <w:t xml:space="preserve"> 39. different styles and forms of communication and how to adapt them to meet the needs of the individual </w:t>
      </w:r>
    </w:p>
    <w:p>
      <w:pPr/>
      <w:r>
        <w:rPr>
          <w:lang w:val="en-GB"/>
        </w:rPr>
        <w:br/>
      </w:r>
    </w:p>
    <w:p>
      <w:pPr/>
      <w:r>
        <w:rPr>
          <w:lang w:val="en-GB"/>
        </w:rPr>
        <w:t xml:space="preserve"> 40. how different cultures use and interpret body language in different ways </w:t>
      </w:r>
    </w:p>
    <w:p>
      <w:pPr/>
      <w:r>
        <w:rPr>
          <w:lang w:val="en-GB"/>
        </w:rPr>
        <w:br/>
      </w:r>
    </w:p>
    <w:p>
      <w:pPr/>
      <w:r>
        <w:rPr>
          <w:lang w:val="en-GB"/>
        </w:rPr>
        <w:t xml:space="preserve"> 41. the importance of non-verbal communication </w:t>
      </w:r>
    </w:p>
    <w:p>
      <w:pPr/>
      <w:r>
        <w:rPr>
          <w:lang w:val="en-GB"/>
        </w:rPr>
        <w:br/>
      </w:r>
    </w:p>
    <w:p>
      <w:pPr/>
      <w:r>
        <w:rPr>
          <w:lang w:val="en-GB"/>
        </w:rPr>
        <w:t xml:space="preserve"> 42. common barriers to communication and ways to overcome them </w:t>
      </w:r>
    </w:p>
    <w:p>
      <w:pPr/>
      <w:r>
        <w:rPr>
          <w:lang w:val="en-GB"/>
        </w:rPr>
        <w:br/>
      </w:r>
    </w:p>
    <w:p>
      <w:pPr/>
      <w:r>
        <w:rPr>
          <w:lang w:val="en-GB"/>
        </w:rPr>
        <w:t xml:space="preserve"> 43. how intersectionality impacts on how an individual experiences services </w:t>
      </w:r>
    </w:p>
    <w:p>
      <w:pPr/>
      <w:r>
        <w:rPr>
          <w:lang w:val="en-GB"/>
        </w:rPr>
        <w:br/>
      </w:r>
    </w:p>
    <w:p>
      <w:pPr/>
      <w:r>
        <w:rPr>
          <w:lang w:val="en-GB"/>
        </w:rPr>
        <w:t xml:space="preserve"> 44. how to create an environment that puts individuals at ease </w:t>
      </w:r>
    </w:p>
    <w:p>
      <w:pPr/>
      <w:r>
        <w:rPr>
          <w:lang w:val="en-GB"/>
        </w:rPr>
        <w:br/>
      </w:r>
    </w:p>
    <w:p>
      <w:pPr/>
      <w:r>
        <w:rPr>
          <w:lang w:val="en-GB"/>
        </w:rPr>
        <w:t xml:space="preserve"> 45. how to apply trauma informed practice in your area of work </w:t>
      </w:r>
    </w:p>
    <w:p>
      <w:pPr/>
      <w:r>
        <w:rPr>
          <w:lang w:val="en-GB"/>
        </w:rPr>
        <w:br/>
      </w:r>
    </w:p>
    <w:p>
      <w:pPr/>
      <w:r>
        <w:rPr>
          <w:lang w:val="en-GB"/>
        </w:rPr>
        <w:t xml:space="preserve"> 46. different trauma responses and their impact </w:t>
      </w:r>
    </w:p>
    <w:p>
      <w:pPr/>
      <w:r>
        <w:rPr>
          <w:lang w:val="en-GB"/>
        </w:rPr>
        <w:br/>
      </w:r>
    </w:p>
    <w:p>
      <w:pPr/>
      <w:r>
        <w:rPr>
          <w:lang w:val="en-GB"/>
        </w:rPr>
        <w:t xml:space="preserve"> 47. how to apply a needs led, strength based approach specific to meet the needs of the individual </w:t>
      </w:r>
    </w:p>
    <w:p>
      <w:pPr/>
      <w:r>
        <w:rPr>
          <w:lang w:val="en-GB"/>
        </w:rPr>
        <w:br/>
      </w:r>
    </w:p>
    <w:p>
      <w:pPr/>
      <w:r>
        <w:rPr>
          <w:lang w:val="en-GB"/>
        </w:rPr>
        <w:t xml:space="preserve"> 48. the importance of being aware of your own values and beliefs and the impact they can have when working on individuals </w:t>
      </w:r>
    </w:p>
    <w:p>
      <w:pPr/>
      <w:r>
        <w:rPr>
          <w:lang w:val="en-GB"/>
        </w:rPr>
        <w:br/>
      </w:r>
    </w:p>
    <w:p>
      <w:pPr/>
      <w:r>
        <w:rPr>
          <w:lang w:val="en-GB"/>
        </w:rPr>
        <w:t xml:space="preserve"> 49. how to challenge discriminatory or potentially damaging attitudes and behaviour and the importance of doing so </w:t>
      </w:r>
    </w:p>
    <w:p>
      <w:pPr/>
      <w:r>
        <w:rPr>
          <w:lang w:val="en-GB"/>
        </w:rPr>
        <w:br/>
      </w:r>
    </w:p>
    <w:p>
      <w:pPr/>
      <w:r>
        <w:rPr>
          <w:lang w:val="en-GB"/>
        </w:rPr>
        <w:t xml:space="preserve"> 50. limits of confidentiality relevant to your job role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Any incident or pattern of incidents of controlling, coercive, threatening behaviour, violence or abuse between those aged 16 or over who are, or have been, intimate partners or family members regardless of gender or sexuality. </w:t>
      </w:r>
    </w:p>
    <w:p>
      <w:pPr/>
      <w:r>
        <w:rPr>
          <w:lang w:val="en-GB"/>
        </w:rPr>
        <w:br/>
      </w:r>
    </w:p>
    <w:p>
      <w:pPr/>
      <w:r>
        <w:rPr>
          <w:lang w:val="en-GB"/>
        </w:rPr>
        <w:t xml:space="preserve">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way of working to ensure that the support offered to someone experiencing domestic abuse is offered based on their needs and that builds on their strengths and resources available to them. It recognises the knowledge they have of the person who is using abuse. With the rights the non-abusive person can build their independence, recover from the trauma they have experienced and gain their life back and source change that lasts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be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w:t>
      </w:r>
    </w:p>
    <w:p>
      <w:pPr/>
      <w:r>
        <w:rPr>
          <w:lang w:val="en-GB"/>
        </w:rPr>
        <w:br/>
      </w:r>
    </w:p>
    <w:p>
      <w:pPr/>
      <w:r>
        <w:rPr>
          <w:lang w:val="en-GB"/>
        </w:rPr>
        <w:t xml:space="preserve"> This can range from rape to voyeurism or exhibitionism, to unwanted touching above or under clothes. </w:t>
      </w:r>
    </w:p>
    <w:p>
      <w:pPr/>
      <w:r>
        <w:rPr>
          <w:lang w:val="en-GB"/>
        </w:rPr>
        <w:br/>
      </w:r>
    </w:p>
    <w:p>
      <w:pPr/>
      <w:r>
        <w:rPr>
          <w:lang w:val="en-GB"/>
        </w:rPr>
        <w:t xml:space="preserve"> </w:t>
      </w:r>
    </w:p>
    <w:p>
      <w:pPr/>
      <w:r>
        <w:rPr>
          <w:lang w:val="en-GB"/>
        </w:rPr>
        <w:t>Sexual Violence</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Is an approach to working with individuals that recognises their strength to overcome their experiences </w:t>
      </w:r>
    </w:p>
    <w:p>
      <w:pPr/>
      <w:r>
        <w:rPr>
          <w:lang w:val="en-GB"/>
        </w:rPr>
        <w:br/>
      </w:r>
    </w:p>
    <w:p>
      <w:pPr/>
      <w:r>
        <w:rPr>
          <w:lang w:val="en-GB"/>
        </w:rPr>
        <w:t xml:space="preserve"> </w:t>
      </w:r>
    </w:p>
    <w:p>
      <w:pPr/>
      <w:r>
        <w:rPr>
          <w:lang w:val="en-GB"/>
        </w:rPr>
        <w:t>Trauma Informed</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in a way so as to not inadvertently retraumatise impacted individuals;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SfJBI401</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Community Justice</w:t>
      </w:r>
      <w:r>
        <w:rPr>
          <w:lang w:val="en-GB"/>
        </w:rPr>
        <w:br/>
      </w:r>
    </w:p>
    <w:p>
      <w:pPr/>
      <w:r>
        <w:rPr>
          <w:lang w:val="en-GB"/>
          <w:b/>
        </w:rPr>
        <w:t>Keywords</w:t>
      </w:r>
    </w:p>
    <w:p>
      <w:pPr/>
      <w:r>
        <w:rPr>
          <w:lang w:val="en-GB"/>
        </w:rPr>
        <w:t>Sexual; domestic abuse; assessment; multi-agency; partnership; arrangements; MAPPA; MASRAM; safeguarding; protection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E5CA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e9ca4b62e894f58" /><Relationship Type="http://schemas.openxmlformats.org/officeDocument/2006/relationships/numbering" Target="/word/numbering.xml" Id="Rea21be14dabf4221" /><Relationship Type="http://schemas.openxmlformats.org/officeDocument/2006/relationships/settings" Target="/word/settings.xml" Id="Rfb1e530c240d4e80" /><Relationship Type="http://schemas.openxmlformats.org/officeDocument/2006/relationships/image" Target="/word/media/e7115c16-86c2-4f90-9831-c1a377ff0b28.png" Id="Rd44b2b1557654c4c" /></Relationships>
</file>