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4c664d6e7846c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COSAO28</w:t>
            </w:r>
            <w:r>
              <w:rPr>
                <w:b/>
              </w:rPr>
              <w:br/>
            </w:r>
            <w:r>
              <w:rPr>
                <w:b/>
              </w:rPr>
              <w:t>Undertake personal development in the occupational practice area in asbestos surveying and analysis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9ff128caa0745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c18f6d66f8f4af6" /><Relationship Type="http://schemas.openxmlformats.org/officeDocument/2006/relationships/numbering" Target="/word/numbering.xml" Id="R94d61acb30ec4844" /><Relationship Type="http://schemas.openxmlformats.org/officeDocument/2006/relationships/settings" Target="/word/settings.xml" Id="R6e0e857ad2ad46ea" /><Relationship Type="http://schemas.openxmlformats.org/officeDocument/2006/relationships/image" Target="/word/media/88d5108d-280b-4799-a069-b34041512888.png" Id="Rd9ff128caa074590" /></Relationships>
</file>