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35564b2265a4de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MSAE22</w:t>
            </w:r>
            <w:r>
              <w:rPr>
                <w:b/>
              </w:rPr>
              <w:br/>
            </w:r>
            <w:r>
              <w:rPr>
                <w:b/>
              </w:rPr>
              <w:t>Transit the (non propelled) jack up barge to and from operational site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4dbc3f8d05149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5d6b48abaf942a7" /><Relationship Type="http://schemas.openxmlformats.org/officeDocument/2006/relationships/numbering" Target="/word/numbering.xml" Id="R6e143858362545e8" /><Relationship Type="http://schemas.openxmlformats.org/officeDocument/2006/relationships/settings" Target="/word/settings.xml" Id="R236591ef2db7423a" /><Relationship Type="http://schemas.openxmlformats.org/officeDocument/2006/relationships/image" Target="/word/media/9c5fd3ea-166a-4aa1-bdab-6d3d4e27bf79.png" Id="R74dbc3f8d0514910" /></Relationships>
</file>