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e99ed59a424e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IMPFT111KL</w:t>
            </w:r>
            <w:r>
              <w:rPr>
                <w:b/>
              </w:rPr>
              <w:br/>
            </w:r>
            <w:r>
              <w:rPr>
                <w:b/>
              </w:rPr>
              <w:t>Understand how to control the sensory assessment of food and drink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617b6e72e84b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46d3fd6c1c451c" /><Relationship Type="http://schemas.openxmlformats.org/officeDocument/2006/relationships/numbering" Target="/word/numbering.xml" Id="R32b3bd7c504445a1" /><Relationship Type="http://schemas.openxmlformats.org/officeDocument/2006/relationships/settings" Target="/word/settings.xml" Id="Rb89bd574541e4dd7" /><Relationship Type="http://schemas.openxmlformats.org/officeDocument/2006/relationships/image" Target="/word/media/c2c18ce4-ab0b-4564-8e18-c743b74bd7d3.png" Id="Rcd617b6e72e84b44" /></Relationships>
</file>