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b624741d2d476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 SE05</w:t>
            </w:r>
            <w:r>
              <w:rPr>
                <w:b/>
              </w:rPr>
              <w:br/>
            </w:r>
            <w:r>
              <w:rPr>
                <w:b/>
              </w:rPr>
              <w:t>Advise employers about the benefits, processes and practices to recruit and retain a diverse workforce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3a11506f06a4f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aa26126a1d94e67" /><Relationship Type="http://schemas.openxmlformats.org/officeDocument/2006/relationships/numbering" Target="/word/numbering.xml" Id="Rdead9785dc6d457d" /><Relationship Type="http://schemas.openxmlformats.org/officeDocument/2006/relationships/settings" Target="/word/settings.xml" Id="R10633a89a3d34226" /><Relationship Type="http://schemas.openxmlformats.org/officeDocument/2006/relationships/image" Target="/word/media/80ea3cfe-bd54-4ff0-bf41-01c635f3f556.png" Id="R13a11506f06a4f11" /></Relationships>
</file>