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ab274fd4ad4b95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SFHCHS109</w:t>
            </w:r>
            <w:r>
              <w:rPr>
                <w:b/>
              </w:rPr>
              <w:br/>
            </w:r>
            <w:r>
              <w:rPr>
                <w:b/>
              </w:rPr>
              <w:t>Produce a clinical interpretation of acquired images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ce32f5f9521543a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074303b1298a422c" /><Relationship Type="http://schemas.openxmlformats.org/officeDocument/2006/relationships/numbering" Target="/word/numbering.xml" Id="Rc92e3a21b9a4429a" /><Relationship Type="http://schemas.openxmlformats.org/officeDocument/2006/relationships/settings" Target="/word/settings.xml" Id="R3450126bd4ad4ebc" /><Relationship Type="http://schemas.openxmlformats.org/officeDocument/2006/relationships/image" Target="/word/media/56218d9a-5adb-49ad-af81-42cfb75e5df5.png" Id="Rce32f5f9521543a3" /></Relationships>
</file>