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7c3ee147541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COGESA13.4</w:t>
            </w:r>
            <w:r>
              <w:rPr>
                <w:b/>
              </w:rPr>
              <w:br/>
            </w:r>
            <w:r>
              <w:rPr>
                <w:b/>
              </w:rPr>
              <w:t>Manage continuous improvement in activities for explosive substances and articles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1f6e5010db4c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9f4c9a1d264731" /><Relationship Type="http://schemas.openxmlformats.org/officeDocument/2006/relationships/numbering" Target="/word/numbering.xml" Id="R5e4d624015d044a5" /><Relationship Type="http://schemas.openxmlformats.org/officeDocument/2006/relationships/settings" Target="/word/settings.xml" Id="Rddb3b26d5423489d" /><Relationship Type="http://schemas.openxmlformats.org/officeDocument/2006/relationships/image" Target="/word/media/8e15cb4a-7e78-4c8c-b0c3-afb24b90bdbb.png" Id="Rcf1f6e5010db4c36" /></Relationships>
</file>