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210916b2b1428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SFHCHS64</w:t>
            </w:r>
            <w:r>
              <w:rPr>
                <w:b/>
              </w:rPr>
              <w:br/>
            </w:r>
            <w:r>
              <w:rPr>
                <w:b/>
              </w:rPr>
              <w:t>Enable individuals to manage changes in their long term conditions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357552e8d94a8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f70ffb24ba84f1c" /><Relationship Type="http://schemas.openxmlformats.org/officeDocument/2006/relationships/numbering" Target="/word/numbering.xml" Id="R5dbfc0a0567348ee" /><Relationship Type="http://schemas.openxmlformats.org/officeDocument/2006/relationships/settings" Target="/word/settings.xml" Id="R8c64d3b35ec94c0f" /><Relationship Type="http://schemas.openxmlformats.org/officeDocument/2006/relationships/image" Target="/word/media/01b9e220-1df0-4e15-852f-5d7fee632e4c.png" Id="Rb1357552e8d94a8b" /></Relationships>
</file>