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62a30ba9a343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SFHCHS51</w:t>
            </w:r>
            <w:r>
              <w:rPr>
                <w:b/>
              </w:rPr>
              <w:br/>
            </w:r>
            <w:r>
              <w:rPr>
                <w:b/>
              </w:rPr>
              <w:t>Discontinue infusions delivered subcutaneously and remove syringe driver or infusion device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a2188781fc42f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b422fcee744476" /><Relationship Type="http://schemas.openxmlformats.org/officeDocument/2006/relationships/numbering" Target="/word/numbering.xml" Id="R1188f1436e2b4dd4" /><Relationship Type="http://schemas.openxmlformats.org/officeDocument/2006/relationships/settings" Target="/word/settings.xml" Id="Rd1a440e5172e4d9b" /><Relationship Type="http://schemas.openxmlformats.org/officeDocument/2006/relationships/image" Target="/word/media/127b8242-a37a-4b17-894e-9f10ae95eaa3.png" Id="R10a2188781fc42f4" /></Relationships>
</file>