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bcbc75efd4c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SFHCHS231</w:t>
            </w:r>
            <w:r>
              <w:rPr>
                <w:b/>
              </w:rPr>
              <w:br/>
            </w:r>
            <w:r>
              <w:rPr>
                <w:b/>
              </w:rPr>
              <w:t>Co-ordinate, monitor and review service responses to meet individuals’ needs and circumstances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a054de1e954f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65e8fbaf4b42c0" /><Relationship Type="http://schemas.openxmlformats.org/officeDocument/2006/relationships/numbering" Target="/word/numbering.xml" Id="R590bdfb4be174f09" /><Relationship Type="http://schemas.openxmlformats.org/officeDocument/2006/relationships/settings" Target="/word/settings.xml" Id="Ra6d70f0f64684d98" /><Relationship Type="http://schemas.openxmlformats.org/officeDocument/2006/relationships/image" Target="/word/media/8f8bb75a-73e1-4a37-8b08-d68490850776.png" Id="R20a054de1e954f5c" /></Relationships>
</file>