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abbf2940ad4d9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FSPPP02</w:t>
            </w:r>
            <w:r>
              <w:rPr>
                <w:b/>
              </w:rPr>
              <w:br/>
            </w:r>
            <w:r>
              <w:rPr>
                <w:b/>
              </w:rPr>
              <w:t>Assess the client’s financial circumstances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05c1c7ab742438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e3fcf6420e942b9" /><Relationship Type="http://schemas.openxmlformats.org/officeDocument/2006/relationships/numbering" Target="/word/numbering.xml" Id="R2d34d780f9ae45c7" /><Relationship Type="http://schemas.openxmlformats.org/officeDocument/2006/relationships/settings" Target="/word/settings.xml" Id="R65da67ec250b4dbe" /><Relationship Type="http://schemas.openxmlformats.org/officeDocument/2006/relationships/image" Target="/word/media/41d64643-df5d-4923-9985-56793b538f41.png" Id="Rd05c1c7ab742438a" /></Relationships>
</file>