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ee6d38d1e4b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SCDCPC505</w:t>
            </w:r>
            <w:r>
              <w:rPr>
                <w:b/>
              </w:rPr>
              <w:br/>
            </w:r>
            <w:r>
              <w:rPr>
                <w:b/>
              </w:rPr>
              <w:t>Plan the workforce to achieve outcomes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3265c1005846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0e2556020848a5" /><Relationship Type="http://schemas.openxmlformats.org/officeDocument/2006/relationships/numbering" Target="/word/numbering.xml" Id="Rf5621339f1394b28" /><Relationship Type="http://schemas.openxmlformats.org/officeDocument/2006/relationships/settings" Target="/word/settings.xml" Id="Rc5470343b4b642d9" /><Relationship Type="http://schemas.openxmlformats.org/officeDocument/2006/relationships/image" Target="/word/media/1da17db6-3d29-43bb-8159-92d92d29a86e.png" Id="R3f3265c1005846c3" /></Relationships>
</file>