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44ed78be02478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ESKITP802601</w:t>
            </w:r>
            <w:r>
              <w:rPr>
                <w:b/>
              </w:rPr>
              <w:br/>
            </w:r>
            <w:r>
              <w:rPr>
                <w:b/>
              </w:rPr>
              <w:t>Lead the Data Analysis Capability, Strategy and Framework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c42023ce264e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e9b692641f74174" /><Relationship Type="http://schemas.openxmlformats.org/officeDocument/2006/relationships/numbering" Target="/word/numbering.xml" Id="R1c849cc333034c01" /><Relationship Type="http://schemas.openxmlformats.org/officeDocument/2006/relationships/settings" Target="/word/settings.xml" Id="Re6226ac86989432b" /><Relationship Type="http://schemas.openxmlformats.org/officeDocument/2006/relationships/image" Target="/word/media/036d025f-4dac-43d8-b437-2648e37cf8a5.png" Id="R6dc42023ce264e73" /></Relationships>
</file>