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54df47154a48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EUSRA22</w:t>
            </w:r>
            <w:r>
              <w:rPr>
                <w:b/>
              </w:rPr>
              <w:br/>
            </w:r>
            <w:r>
              <w:rPr>
                <w:b/>
              </w:rPr>
              <w:t>Maintain sustainable development and environmental good practice during recycling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ab417559714c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df227f2fdf4f7d" /><Relationship Type="http://schemas.openxmlformats.org/officeDocument/2006/relationships/numbering" Target="/word/numbering.xml" Id="Rba464f58f1c944e7" /><Relationship Type="http://schemas.openxmlformats.org/officeDocument/2006/relationships/settings" Target="/word/settings.xml" Id="Rb9d70b0db4ab4ecc" /><Relationship Type="http://schemas.openxmlformats.org/officeDocument/2006/relationships/image" Target="/word/media/58e910a8-da8b-4254-8d98-7114b89d96d1.png" Id="Rc8ab417559714ccf" /></Relationships>
</file>