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1a93b6f46346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EUSUCCO2</w:t>
            </w:r>
            <w:r>
              <w:rPr>
                <w:b/>
              </w:rPr>
              <w:br/>
            </w:r>
            <w:r>
              <w:rPr>
                <w:b/>
              </w:rPr>
              <w:t>Contribute to the handling of incidents and resources in the utilities sector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0dab819bfc47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eb7376c72d4e31" /><Relationship Type="http://schemas.openxmlformats.org/officeDocument/2006/relationships/numbering" Target="/word/numbering.xml" Id="R637242ea9a204ae9" /><Relationship Type="http://schemas.openxmlformats.org/officeDocument/2006/relationships/settings" Target="/word/settings.xml" Id="Rf907e0d1e6394f0a" /><Relationship Type="http://schemas.openxmlformats.org/officeDocument/2006/relationships/image" Target="/word/media/4e366c38-c244-452c-8ef7-37a677d4e2c6.png" Id="R590dab819bfc4792" /></Relationships>
</file>