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3a2ad200f8427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CCSRCS5</w:t>
            </w:r>
            <w:r>
              <w:rPr>
                <w:b/>
              </w:rPr>
              <w:br/>
            </w:r>
            <w:r>
              <w:rPr>
                <w:b/>
              </w:rPr>
              <w:t>Issue licences for protected copyright works for use in products, for broadcasting and for public performance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dcde24cd20c43f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f367fce9a8f4036" /><Relationship Type="http://schemas.openxmlformats.org/officeDocument/2006/relationships/numbering" Target="/word/numbering.xml" Id="Rd4c64ca7b4684547" /><Relationship Type="http://schemas.openxmlformats.org/officeDocument/2006/relationships/settings" Target="/word/settings.xml" Id="R0549964a19f542c0" /><Relationship Type="http://schemas.openxmlformats.org/officeDocument/2006/relationships/image" Target="/word/media/82aa1725-4c52-4ff7-837e-0ad3e66f9fde.png" Id="Radcde24cd20c43f7" /></Relationships>
</file>