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0a218b00bf445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CCSID7</w:t>
            </w:r>
            <w:r>
              <w:rPr>
                <w:b/>
              </w:rPr>
              <w:br/>
            </w:r>
            <w:r>
              <w:rPr>
                <w:b/>
              </w:rPr>
              <w:t>Create propositions that connect market opportunity, investor goals and available capabilities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d195aa10ea048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c0e25fdd084409" /><Relationship Type="http://schemas.openxmlformats.org/officeDocument/2006/relationships/numbering" Target="/word/numbering.xml" Id="R9f6a6bce3a2a416e" /><Relationship Type="http://schemas.openxmlformats.org/officeDocument/2006/relationships/settings" Target="/word/settings.xml" Id="R3a7ba4975d0b4e3a" /><Relationship Type="http://schemas.openxmlformats.org/officeDocument/2006/relationships/image" Target="/word/media/2fef1b96-1024-4a00-8cd7-8c39fa652d09.png" Id="R8d195aa10ea0487b" /></Relationships>
</file>