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3b6655d7f4d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CCSDL8</w:t>
            </w:r>
            <w:r>
              <w:rPr>
                <w:b/>
              </w:rPr>
              <w:br/>
            </w:r>
            <w:r>
              <w:rPr>
                <w:b/>
              </w:rPr>
              <w:t>Manage expectations with participating individuals, groups, funders and partners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762622e38e4e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275375bcea49b8" /><Relationship Type="http://schemas.openxmlformats.org/officeDocument/2006/relationships/numbering" Target="/word/numbering.xml" Id="Rdc5723159a774bef" /><Relationship Type="http://schemas.openxmlformats.org/officeDocument/2006/relationships/settings" Target="/word/settings.xml" Id="R5c280e99acd04354" /><Relationship Type="http://schemas.openxmlformats.org/officeDocument/2006/relationships/image" Target="/word/media/0f2a3985-b2d3-49b3-9236-0f3bce3f453c.png" Id="R18762622e38e4e9d" /></Relationships>
</file>