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75a98f39b453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COSBEDCL4O09</w:t>
            </w:r>
            <w:r>
              <w:rPr>
                <w:b/>
              </w:rPr>
              <w:br/>
            </w:r>
            <w:r>
              <w:rPr>
                <w:b/>
              </w:rPr>
              <w:t>Determine and negotiate proposals in planning, conservation and building control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37fb0d642b41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f9d3b6cc9614c1e" /><Relationship Type="http://schemas.openxmlformats.org/officeDocument/2006/relationships/numbering" Target="/word/numbering.xml" Id="R58bbb134f7f740b3" /><Relationship Type="http://schemas.openxmlformats.org/officeDocument/2006/relationships/settings" Target="/word/settings.xml" Id="R527283b15ee64a19" /><Relationship Type="http://schemas.openxmlformats.org/officeDocument/2006/relationships/image" Target="/word/media/d5cc0df2-91e6-4631-a328-68cd4caaa940.png" Id="R9c37fb0d642b41a7" /></Relationships>
</file>