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6f5eb65df448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COSBEDMO09</w:t>
            </w:r>
            <w:r>
              <w:rPr>
                <w:b/>
              </w:rPr>
              <w:br/>
            </w:r>
            <w:r>
              <w:rPr>
                <w:b/>
              </w:rPr>
              <w:t>Conduct condition surveys in built environment design management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2716e802b046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0591dbc2ab4ba1" /><Relationship Type="http://schemas.openxmlformats.org/officeDocument/2006/relationships/numbering" Target="/word/numbering.xml" Id="R55d222272ca346f8" /><Relationship Type="http://schemas.openxmlformats.org/officeDocument/2006/relationships/settings" Target="/word/settings.xml" Id="Rfe308f53276d44f0" /><Relationship Type="http://schemas.openxmlformats.org/officeDocument/2006/relationships/image" Target="/word/media/7a434461-ecd0-4158-a5df-104e60b88e99.png" Id="Rb52716e802b04663" /></Relationships>
</file>