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b663b0dae44e6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COSBEDMO22</w:t>
            </w:r>
            <w:r>
              <w:rPr>
                <w:b/>
              </w:rPr>
              <w:br/>
            </w:r>
            <w:r>
              <w:rPr>
                <w:b/>
              </w:rPr>
              <w:t>Assess and confirm project energy sources and mechanisms in built environment design management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9b7635f7b3a44a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5b39e9aa06b4ae6" /><Relationship Type="http://schemas.openxmlformats.org/officeDocument/2006/relationships/numbering" Target="/word/numbering.xml" Id="Rbdaf17a33d884174" /><Relationship Type="http://schemas.openxmlformats.org/officeDocument/2006/relationships/settings" Target="/word/settings.xml" Id="Rfc5f9994ca644fa8" /><Relationship Type="http://schemas.openxmlformats.org/officeDocument/2006/relationships/image" Target="/word/media/33171514-afdc-4df6-b47b-ce43343e6337.png" Id="Re9b7635f7b3a44a3" /></Relationships>
</file>