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5d016f68574b5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SKSJ20</w:t>
            </w:r>
            <w:r>
              <w:rPr>
                <w:b/>
              </w:rPr>
              <w:br/>
            </w:r>
            <w:r>
              <w:rPr>
                <w:b/>
              </w:rPr>
              <w:t xml:space="preserve">Write promotional material for editorial content 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e0ae8c1613b4a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involves writing promotional material to persuade people to buy or read current and future publications, or to listen to or view broadcast programmes.</w:t>
      </w:r>
    </w:p>
    <w:p>
      <w:pPr/>
      <w:r>
        <w:rPr>
          <w:lang w:val="en-GB"/>
        </w:rPr>
        <w:t>Promotional material can take a variety of forms on different platforms. Many media organisations publishing on more than one platform can exploit the potential for cross-platform promotion of their editorial content.</w:t>
      </w:r>
    </w:p>
    <w:p>
      <w:pPr/>
      <w:r>
        <w:rPr>
          <w:lang w:val="en-GB"/>
        </w:rPr>
        <w:t>This Standard is for those who create promotional material for editorial content.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Screen Skills (formerly Creative Skillset)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SKSJ20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Media and Communication, Media Associate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Journalism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promotional material, platforms, content, copy, journalism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eaf83988b6241e4" /><Relationship Type="http://schemas.openxmlformats.org/officeDocument/2006/relationships/numbering" Target="/word/numbering.xml" Id="Rc6b5de062f1d4f14" /><Relationship Type="http://schemas.openxmlformats.org/officeDocument/2006/relationships/settings" Target="/word/settings.xml" Id="R89d8cee6f9784ed7" /><Relationship Type="http://schemas.openxmlformats.org/officeDocument/2006/relationships/image" Target="/word/media/31ca5fee-8e6e-4270-811f-f3eca8398f42.png" Id="R1e0ae8c1613b4a51" /></Relationships>
</file>