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865a76dc8341c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PROUSF29L</w:t>
            </w:r>
            <w:r>
              <w:rPr>
                <w:b/>
              </w:rPr>
              <w:br/>
            </w:r>
            <w:r>
              <w:rPr>
                <w:b/>
              </w:rPr>
              <w:t>Produce lined and interlined curtains with a contrast leading edge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e60ad6a7eda4e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113732f9fe340b5" /><Relationship Type="http://schemas.openxmlformats.org/officeDocument/2006/relationships/numbering" Target="/word/numbering.xml" Id="R00f6c6cc809e483a" /><Relationship Type="http://schemas.openxmlformats.org/officeDocument/2006/relationships/settings" Target="/word/settings.xml" Id="R005ff4e079524cd5" /><Relationship Type="http://schemas.openxmlformats.org/officeDocument/2006/relationships/image" Target="/word/media/80e84325-aaa7-4481-940d-ecd1e4c04363.png" Id="R8e60ad6a7eda4ed1" /></Relationships>
</file>