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53925ba75b412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PROPA11L</w:t>
            </w:r>
            <w:r>
              <w:rPr>
                <w:b/>
              </w:rPr>
              <w:br/>
            </w:r>
            <w:r>
              <w:rPr>
                <w:b/>
              </w:rPr>
              <w:t>Comply with company environmental procedures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c642236d90a476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216862d7df84c1c" /><Relationship Type="http://schemas.openxmlformats.org/officeDocument/2006/relationships/numbering" Target="/word/numbering.xml" Id="R0226de3056624155" /><Relationship Type="http://schemas.openxmlformats.org/officeDocument/2006/relationships/settings" Target="/word/settings.xml" Id="R18abc70ccbe64aed" /><Relationship Type="http://schemas.openxmlformats.org/officeDocument/2006/relationships/image" Target="/word/media/1ca39342-381c-4532-8d58-b4221b3fcb42.png" Id="R2c642236d90a476d" /></Relationships>
</file>