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138865dfd848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LSICLG18</w:t>
            </w:r>
            <w:r>
              <w:rPr>
                <w:b/>
              </w:rPr>
              <w:br/>
            </w:r>
            <w:r>
              <w:rPr>
                <w:b/>
              </w:rPr>
              <w:t>Interpret and apply ethical and legal frameworks in the practice of counselling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b501183ec842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73adfad8364bc6" /><Relationship Type="http://schemas.openxmlformats.org/officeDocument/2006/relationships/numbering" Target="/word/numbering.xml" Id="R796f6d271b6e42a5" /><Relationship Type="http://schemas.openxmlformats.org/officeDocument/2006/relationships/settings" Target="/word/settings.xml" Id="Rb527f60b267a49be" /><Relationship Type="http://schemas.openxmlformats.org/officeDocument/2006/relationships/image" Target="/word/media/32dafb3b-2749-4d58-a98a-a6f5e2ee388f.png" Id="Ra1b501183ec842ec" /></Relationships>
</file>