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470d6948a940e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LSIFL409v2</w:t>
            </w:r>
            <w:r>
              <w:rPr>
                <w:b/>
              </w:rPr>
              <w:br/>
            </w:r>
            <w:r>
              <w:rPr>
                <w:b/>
              </w:rPr>
              <w:t>Ensure compliance with legal, regulatory, ethical and social requirements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cdc817a604a451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170e82b9afa4abf" /><Relationship Type="http://schemas.openxmlformats.org/officeDocument/2006/relationships/numbering" Target="/word/numbering.xml" Id="R597b38e4f6d046f5" /><Relationship Type="http://schemas.openxmlformats.org/officeDocument/2006/relationships/settings" Target="/word/settings.xml" Id="Rf3d81f9152964b94" /><Relationship Type="http://schemas.openxmlformats.org/officeDocument/2006/relationships/image" Target="/word/media/06ea9393-ec7c-431f-b92f-0f527f30e1c6.png" Id="Rbcdc817a604a451a" /></Relationships>
</file>