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2729aaeb88411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IMPFS132KL</w:t>
            </w:r>
            <w:r>
              <w:rPr>
                <w:b/>
              </w:rPr>
              <w:br/>
            </w:r>
            <w:r>
              <w:rPr>
                <w:b/>
              </w:rPr>
              <w:t>Principles of controlling biological food hazards in food and drink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da0d0498a84a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1e7d206fd2479c" /><Relationship Type="http://schemas.openxmlformats.org/officeDocument/2006/relationships/numbering" Target="/word/numbering.xml" Id="R2d91d24a57514bbe" /><Relationship Type="http://schemas.openxmlformats.org/officeDocument/2006/relationships/settings" Target="/word/settings.xml" Id="R7516cb1e91b34065" /><Relationship Type="http://schemas.openxmlformats.org/officeDocument/2006/relationships/image" Target="/word/media/2ec6303d-fc34-4840-a966-1e364564b376.png" Id="R93da0d0498a84a4e" /></Relationships>
</file>